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韶关市翁源县用户水龙头水质监测信息公开表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（</w:t>
      </w:r>
      <w:r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2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  <w:lang w:val="en-US" w:eastAsia="zh-CN"/>
        </w:rPr>
        <w:t>1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年第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  <w:lang w:eastAsia="zh-CN"/>
        </w:rPr>
        <w:t>一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季度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）</w:t>
      </w:r>
    </w:p>
    <w:p>
      <w:pPr>
        <w:spacing w:afterLines="50" w:line="240" w:lineRule="exact"/>
        <w:jc w:val="center"/>
        <w:rPr>
          <w:rStyle w:val="8"/>
          <w:rFonts w:ascii="宋体" w:eastAsia="宋体" w:cs="宋体"/>
          <w:b/>
          <w:bCs/>
          <w:color w:val="FF0000"/>
          <w:sz w:val="36"/>
          <w:szCs w:val="36"/>
        </w:rPr>
      </w:pPr>
      <w:bookmarkStart w:id="0" w:name="_GoBack"/>
      <w:bookmarkEnd w:id="0"/>
    </w:p>
    <w:tbl>
      <w:tblPr>
        <w:tblStyle w:val="5"/>
        <w:tblW w:w="14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17"/>
        <w:gridCol w:w="1257"/>
        <w:gridCol w:w="843"/>
        <w:gridCol w:w="957"/>
        <w:gridCol w:w="1350"/>
        <w:gridCol w:w="4237"/>
        <w:gridCol w:w="1125"/>
        <w:gridCol w:w="80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翁源县龙仙镇建国路30号（翁源中学生活区）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03.05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、游离余氯。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翁源县龙仙镇龙英路83号（翁源县民政局）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.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03.08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翁源县龙仙镇建设二路117号（翁源县龙仙镇第一小学）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1.03.05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翁源县龙仙镇朝阳路186号（翁源县住房和城乡规划建设局）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翁源县龙仙镇环城北路64号（翁源县市场监督管理局）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1.03.05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环城北路369号（广东青云药业有限公司）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1.03.05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翁源县龙仙镇德政路331号(翁源县疾病预防控制中心)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翁源县龙仙镇建设一路248号（中国建设银行股份有限公司翁源支行）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翁源县龙仙镇建设二路713号（翁源县公安局附城派出所）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翁源县龙仙镇建设一路830号（翁源县龙仙镇环城西路机动车检测站）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翁源县龙仙镇河口村委会（翁源县龙仙镇河口村）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翁源县铁龙镇铁龙大道东永红路308号（铁龙学校）</w:t>
            </w:r>
          </w:p>
        </w:tc>
        <w:tc>
          <w:tcPr>
            <w:tcW w:w="12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铁龙镇源泉供水有限公司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1.03.01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翁源县新江镇民新路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Style w:val="8"/>
                <w:rFonts w:hint="eastAsia" w:ascii="宋体" w:hAnsi="宋体" w:eastAsia="仿宋_GB2312"/>
                <w:color w:val="auto"/>
                <w:sz w:val="24"/>
                <w:szCs w:val="24"/>
                <w:lang w:val="en-US" w:eastAsia="zh-CN"/>
              </w:rPr>
              <w:t>号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（新江镇新街自来水公司营业厅）</w:t>
            </w:r>
          </w:p>
        </w:tc>
        <w:tc>
          <w:tcPr>
            <w:tcW w:w="12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新江镇新街自来水公司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1.03.02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翁源县翁城镇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翁英路（翁城德润自来水有限公司营业厅）</w:t>
            </w:r>
          </w:p>
        </w:tc>
        <w:tc>
          <w:tcPr>
            <w:tcW w:w="12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翁城德润自来水有限公司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1.03.03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翁源县官渡镇</w:t>
            </w:r>
            <w:r>
              <w:rPr>
                <w:rStyle w:val="8"/>
                <w:rFonts w:hint="eastAsia" w:ascii="宋体"/>
                <w:color w:val="auto"/>
                <w:sz w:val="24"/>
                <w:szCs w:val="24"/>
                <w:lang w:eastAsia="zh-CN"/>
              </w:rPr>
              <w:t>华榕大道</w:t>
            </w: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（官渡镇</w:t>
            </w:r>
            <w:r>
              <w:rPr>
                <w:rStyle w:val="8"/>
                <w:rFonts w:hint="eastAsia" w:ascii="宋体"/>
                <w:color w:val="auto"/>
                <w:sz w:val="24"/>
                <w:szCs w:val="24"/>
                <w:lang w:eastAsia="zh-CN"/>
              </w:rPr>
              <w:t>六重水供水营业厅</w:t>
            </w: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官渡镇六重水</w:t>
            </w:r>
            <w:r>
              <w:rPr>
                <w:rStyle w:val="8"/>
                <w:rFonts w:hint="eastAsia" w:ascii="宋体"/>
                <w:color w:val="auto"/>
                <w:sz w:val="24"/>
                <w:szCs w:val="24"/>
                <w:lang w:eastAsia="zh-CN"/>
              </w:rPr>
              <w:t>供水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1.03.03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717" w:type="dxa"/>
          </w:tcPr>
          <w:p>
            <w:pPr>
              <w:spacing w:beforeLines="100" w:afterLines="100" w:line="220" w:lineRule="atLeast"/>
              <w:ind w:left="105" w:leftChars="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翁源县官渡镇赤桉北路2号（翁源县官渡中学）</w:t>
            </w:r>
          </w:p>
        </w:tc>
        <w:tc>
          <w:tcPr>
            <w:tcW w:w="1257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官渡清泉自来水厂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1.03.03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龙仙镇桂竹村委会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翁源县八仙泉自来水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1.03.05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周陂镇周陂街（周陂镇人民政府）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翁源县龙泽水资源发展投资有限公司翁源周陂水厂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1.03.08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坝仔镇建设</w:t>
            </w:r>
            <w:r>
              <w:rPr>
                <w:rStyle w:val="8"/>
                <w:rFonts w:hint="eastAsia" w:ascii="宋体"/>
                <w:color w:val="000000" w:themeColor="text1"/>
                <w:sz w:val="24"/>
                <w:szCs w:val="24"/>
                <w:lang w:eastAsia="zh-CN"/>
              </w:rPr>
              <w:t>南</w:t>
            </w: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路（坝仔镇</w:t>
            </w:r>
            <w:r>
              <w:rPr>
                <w:rStyle w:val="8"/>
                <w:rFonts w:hint="eastAsia" w:ascii="宋体"/>
                <w:color w:val="000000" w:themeColor="text1"/>
                <w:sz w:val="24"/>
                <w:szCs w:val="24"/>
                <w:lang w:eastAsia="zh-CN"/>
              </w:rPr>
              <w:t>人民</w:t>
            </w: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政府）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坝仔镇供水管理站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1.03.04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江尾镇建设一路56号（江尾镇中心小学）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/>
                <w:color w:val="auto"/>
                <w:sz w:val="24"/>
                <w:szCs w:val="24"/>
                <w:lang w:eastAsia="zh-CN"/>
              </w:rPr>
              <w:t>翁源县龙泽水资源发展投资有限公司翁源江尾水厂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202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1.03.04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</w:tbl>
    <w:p>
      <w:pPr>
        <w:spacing w:line="240" w:lineRule="exact"/>
        <w:ind w:right="105"/>
        <w:jc w:val="right"/>
        <w:rPr>
          <w:rStyle w:val="8"/>
          <w:rFonts w:ascii="宋体" w:eastAsia="宋体"/>
          <w:color w:val="auto"/>
          <w:sz w:val="24"/>
          <w:szCs w:val="24"/>
        </w:rPr>
      </w:pPr>
    </w:p>
    <w:p>
      <w:pPr>
        <w:spacing w:beforeLines="50" w:line="240" w:lineRule="exact"/>
        <w:rPr>
          <w:rStyle w:val="8"/>
          <w:rFonts w:ascii="宋体" w:hAnsi="宋体" w:eastAsia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注：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1.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水样采集、保存、运输及检验方法：按照现行《生活饮用水标准检验方法》（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GB/T5750-2006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）的要求进行。</w:t>
      </w:r>
      <w:r>
        <w:rPr>
          <w:rStyle w:val="8"/>
          <w:rFonts w:ascii="宋体" w:hAnsi="宋体" w:eastAsia="宋体"/>
          <w:color w:val="auto"/>
          <w:sz w:val="24"/>
          <w:szCs w:val="24"/>
        </w:rPr>
        <w:br w:type="textWrapping"/>
      </w:r>
      <w:r>
        <w:rPr>
          <w:rStyle w:val="8"/>
          <w:rFonts w:ascii="宋体" w:hAnsi="宋体" w:eastAsia="宋体"/>
          <w:color w:val="auto"/>
          <w:sz w:val="24"/>
          <w:szCs w:val="24"/>
        </w:rPr>
        <w:t xml:space="preserve">    2.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以《生活饮用水卫生标准》（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GB5749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－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）作为评价标准，检测值在标准限值和要求范围内评价为达标。</w:t>
      </w:r>
    </w:p>
    <w:p>
      <w:pPr>
        <w:rPr>
          <w:rStyle w:val="8"/>
          <w:rFonts w:ascii="宋体" w:hAnsi="宋体" w:eastAsia="宋体"/>
          <w:color w:val="auto"/>
          <w:sz w:val="24"/>
          <w:szCs w:val="24"/>
        </w:rPr>
      </w:pPr>
    </w:p>
    <w:sectPr>
      <w:headerReference r:id="rId3" w:type="default"/>
      <w:pgSz w:w="16838" w:h="11906" w:orient="landscape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C05D5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C7090"/>
    <w:rsid w:val="007E6624"/>
    <w:rsid w:val="007E6772"/>
    <w:rsid w:val="007F1589"/>
    <w:rsid w:val="007F72F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BE76BD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71602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EE1631"/>
    <w:rsid w:val="00F30D3E"/>
    <w:rsid w:val="00F35388"/>
    <w:rsid w:val="00F51B8C"/>
    <w:rsid w:val="00F56F7A"/>
    <w:rsid w:val="00FC6FBC"/>
    <w:rsid w:val="00FE0938"/>
    <w:rsid w:val="18E2490C"/>
    <w:rsid w:val="7DD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ntstyle41"/>
    <w:basedOn w:val="6"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D82F3-97BD-4A9D-A1F9-D86E7ECE3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791</Words>
  <Characters>4513</Characters>
  <Lines>37</Lines>
  <Paragraphs>10</Paragraphs>
  <TotalTime>27</TotalTime>
  <ScaleCrop>false</ScaleCrop>
  <LinksUpToDate>false</LinksUpToDate>
  <CharactersWithSpaces>5294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2019-09-26T05:30:00Z</dcterms:created>
  <dc:creator>Administrator</dc:creator>
  <cp:lastModifiedBy>欢迎</cp:lastModifiedBy>
  <dcterms:modified xsi:type="dcterms:W3CDTF">2021-03-24T06:56:58Z</dcterms:modified>
  <dc:title>韶关市/曲江区用户水龙头水质监测信息公开表（2019年第三季度）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6FD8136C069B4314A9D432E1B12D7F9D</vt:lpwstr>
  </property>
</Properties>
</file>