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lang w:val="en-US" w:eastAsia="zh-CN"/>
        </w:rPr>
      </w:pPr>
      <w:r>
        <w:rPr>
          <w:rFonts w:hint="eastAsia" w:ascii="黑体" w:hAnsi="黑体" w:eastAsia="黑体" w:cs="黑体"/>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翁源县2021年农业生产社会化服务项目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申报指南</w:t>
      </w:r>
    </w:p>
    <w:p>
      <w:pPr>
        <w:rPr>
          <w:rFonts w:hint="eastAsia" w:ascii="黑体" w:hAnsi="黑体" w:eastAsia="黑体" w:cs="黑体"/>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根据《关于支持农业生产社会化服务工作的通知》（农办计财〔2019〕54号）及《广东省2021年农业生产社会化服务项目入库申报指南》等文件要求，结合我</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实际，制定如下指南。</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一、目标任务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省农业农村厅下达我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的农业生产社会化服务项目任务清单目标是完成农业生产社会化服务项目任务面积不少于</w:t>
      </w: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万亩，实现托管作物生产产值提高10%以上，生产成本降低10%以上。通过聚焦优势特色主导产业生产，支持农业生产托管服务关键环节和薄弱环节，促进形成稳定活跃的农业生产托管服务市场，培育壮大农业生产托管服务组织，建立适应现代农业发展需要的生产经营服务体系，促进农业规模经营和绿色生产，不断提高农业经营的效率和竞争力，探索形成可复制、可推广的农业生产社会化服务模式和运行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二、扶持范围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聚焦</w:t>
      </w:r>
      <w:r>
        <w:rPr>
          <w:rFonts w:hint="eastAsia" w:ascii="仿宋_GB2312" w:hAnsi="仿宋_GB2312" w:cs="仿宋_GB2312"/>
          <w:sz w:val="32"/>
          <w:szCs w:val="32"/>
          <w:lang w:eastAsia="zh-CN"/>
        </w:rPr>
        <w:t>翁源县水稻</w:t>
      </w:r>
      <w:r>
        <w:rPr>
          <w:rFonts w:hint="eastAsia" w:ascii="仿宋_GB2312" w:hAnsi="仿宋_GB2312" w:eastAsia="仿宋_GB2312" w:cs="仿宋_GB2312"/>
          <w:sz w:val="32"/>
          <w:szCs w:val="32"/>
        </w:rPr>
        <w:t>优势特色主导产业，针对服务主体为小农户粮食生产的航空植保、粮食机械烘干环节提供统一的专业化、规模化托管服务予以扶持。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三、补助对象、标准、方式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（一）补助对象及条件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补助对象为农村集体经济组织、专业化农业服务组织、服务型农民合作社等服务主体，单环节服务主体不少于3个。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选定的服务主体应具备以下条件：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必须在</w:t>
      </w:r>
      <w:r>
        <w:rPr>
          <w:rFonts w:hint="eastAsia" w:ascii="仿宋_GB2312" w:hAnsi="仿宋_GB2312" w:cs="仿宋_GB2312"/>
          <w:sz w:val="32"/>
          <w:szCs w:val="32"/>
          <w:lang w:eastAsia="zh-CN"/>
        </w:rPr>
        <w:t>市场监管部门</w:t>
      </w:r>
      <w:r>
        <w:rPr>
          <w:rFonts w:hint="eastAsia" w:ascii="仿宋_GB2312" w:hAnsi="仿宋_GB2312" w:eastAsia="仿宋_GB2312" w:cs="仿宋_GB2312"/>
          <w:sz w:val="32"/>
          <w:szCs w:val="32"/>
        </w:rPr>
        <w:t>依法注册登记，其中农民合作社还要在农</w:t>
      </w:r>
      <w:r>
        <w:rPr>
          <w:rFonts w:hint="eastAsia" w:ascii="仿宋_GB2312" w:hAnsi="仿宋_GB2312" w:cs="仿宋_GB2312"/>
          <w:sz w:val="32"/>
          <w:szCs w:val="32"/>
          <w:lang w:eastAsia="zh-CN"/>
        </w:rPr>
        <w:t>业</w:t>
      </w:r>
      <w:r>
        <w:rPr>
          <w:rFonts w:hint="eastAsia" w:ascii="仿宋_GB2312" w:hAnsi="仿宋_GB2312" w:eastAsia="仿宋_GB2312" w:cs="仿宋_GB2312"/>
          <w:sz w:val="32"/>
          <w:szCs w:val="32"/>
        </w:rPr>
        <w:t>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具有一定的社会化服务经验，原则上从事社会化服务</w:t>
      </w:r>
      <w:r>
        <w:rPr>
          <w:rFonts w:hint="eastAsia" w:ascii="仿宋_GB2312" w:hAnsi="仿宋_GB2312" w:cs="仿宋_GB2312"/>
          <w:sz w:val="32"/>
          <w:szCs w:val="32"/>
          <w:lang w:eastAsia="zh-CN"/>
        </w:rPr>
        <w:t>一</w:t>
      </w:r>
      <w:r>
        <w:rPr>
          <w:rFonts w:hint="eastAsia" w:ascii="仿宋_GB2312" w:hAnsi="仿宋_GB2312" w:eastAsia="仿宋_GB2312" w:cs="仿宋_GB2312"/>
          <w:sz w:val="32"/>
          <w:szCs w:val="32"/>
        </w:rPr>
        <w:t>年以上（村集体经济组织可不受</w:t>
      </w:r>
      <w:r>
        <w:rPr>
          <w:rFonts w:hint="eastAsia" w:ascii="仿宋_GB2312" w:hAnsi="仿宋_GB2312" w:cs="仿宋_GB2312"/>
          <w:sz w:val="32"/>
          <w:szCs w:val="32"/>
          <w:lang w:eastAsia="zh-CN"/>
        </w:rPr>
        <w:t>此</w:t>
      </w:r>
      <w:r>
        <w:rPr>
          <w:rFonts w:hint="eastAsia" w:ascii="仿宋_GB2312" w:hAnsi="仿宋_GB2312" w:eastAsia="仿宋_GB2312" w:cs="仿宋_GB2312"/>
          <w:sz w:val="32"/>
          <w:szCs w:val="32"/>
        </w:rPr>
        <w:t>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拥有与其服务内容、服务能力相匹配的专业农业机械和设备；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服务对象以小农户为主，服务范围要相对集中连片，整村推进；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在农民群众中享有良好信誉，其所提供的服务在质量和价格方面受到服务对象的认可和好评；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能够接受社会化服务行业管理部门的监管，按照合同约定的服务内容和要求，依照行业基本服务标准，按时完成作业任务，确保作业质量。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（二）补助标准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项目主要支持水稻生产托管和撂荒地复耕托管，支持粮食生产托管服务关键环节和薄弱环节，</w:t>
      </w:r>
      <w:r>
        <w:rPr>
          <w:rFonts w:hint="eastAsia" w:ascii="仿宋_GB2312" w:hAnsi="仿宋_GB2312" w:eastAsia="仿宋_GB2312" w:cs="仿宋_GB2312"/>
          <w:sz w:val="32"/>
          <w:szCs w:val="32"/>
        </w:rPr>
        <w:t>且接受服务的单个规模经营主体每年享受项目任务补助的资金总量上限为</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万元。服务小农户和规模经营主体的补助标准具体如下表所示：</w:t>
      </w:r>
    </w:p>
    <w:p>
      <w:pPr>
        <w:ind w:firstLine="633"/>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表1 项目实施价格补助一览表</w:t>
      </w:r>
    </w:p>
    <w:tbl>
      <w:tblPr>
        <w:tblStyle w:val="5"/>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320"/>
        <w:gridCol w:w="1965"/>
        <w:gridCol w:w="2034"/>
        <w:gridCol w:w="1326"/>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lang w:eastAsia="zh-CN"/>
              </w:rPr>
            </w:pPr>
            <w:r>
              <w:rPr>
                <w:rFonts w:hint="eastAsia" w:ascii="仿宋" w:hAnsi="仿宋" w:eastAsia="仿宋" w:cs="仿宋"/>
                <w:b/>
                <w:bCs/>
                <w:i w:val="0"/>
                <w:iCs w:val="0"/>
                <w:color w:val="000000"/>
                <w:kern w:val="0"/>
                <w:sz w:val="28"/>
                <w:szCs w:val="28"/>
                <w:u w:val="none"/>
                <w:lang w:val="en-US" w:eastAsia="zh-CN" w:bidi="ar"/>
              </w:rPr>
              <w:t>服务对象</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lang w:eastAsia="zh-CN"/>
              </w:rPr>
            </w:pPr>
            <w:r>
              <w:rPr>
                <w:rFonts w:hint="eastAsia" w:ascii="仿宋" w:hAnsi="仿宋" w:eastAsia="仿宋" w:cs="仿宋"/>
                <w:b/>
                <w:bCs/>
                <w:i w:val="0"/>
                <w:iCs w:val="0"/>
                <w:color w:val="000000"/>
                <w:kern w:val="0"/>
                <w:sz w:val="28"/>
                <w:szCs w:val="28"/>
                <w:u w:val="none"/>
                <w:lang w:val="en-US" w:eastAsia="zh-CN" w:bidi="ar"/>
              </w:rPr>
              <w:t>服务环节</w:t>
            </w:r>
          </w:p>
        </w:tc>
        <w:tc>
          <w:tcPr>
            <w:tcW w:w="1965"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lang w:val="en-US" w:eastAsia="zh-CN"/>
              </w:rPr>
            </w:pPr>
            <w:r>
              <w:rPr>
                <w:rFonts w:hint="eastAsia" w:ascii="仿宋" w:hAnsi="仿宋" w:eastAsia="仿宋" w:cs="仿宋"/>
                <w:b/>
                <w:bCs/>
                <w:i w:val="0"/>
                <w:iCs w:val="0"/>
                <w:color w:val="000000"/>
                <w:kern w:val="0"/>
                <w:sz w:val="28"/>
                <w:szCs w:val="28"/>
                <w:u w:val="none"/>
                <w:lang w:val="en-US" w:eastAsia="zh-CN" w:bidi="ar"/>
              </w:rPr>
              <w:t>市场价格（元/（亩·造））</w:t>
            </w:r>
          </w:p>
        </w:tc>
        <w:tc>
          <w:tcPr>
            <w:tcW w:w="2034"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rPr>
            </w:pPr>
            <w:r>
              <w:rPr>
                <w:rFonts w:hint="eastAsia" w:ascii="仿宋" w:hAnsi="仿宋" w:eastAsia="仿宋" w:cs="仿宋"/>
                <w:b/>
                <w:bCs/>
                <w:i w:val="0"/>
                <w:iCs w:val="0"/>
                <w:color w:val="000000"/>
                <w:kern w:val="0"/>
                <w:sz w:val="28"/>
                <w:szCs w:val="28"/>
                <w:u w:val="none"/>
                <w:lang w:val="en-US" w:eastAsia="zh-CN" w:bidi="ar"/>
              </w:rPr>
              <w:t>补助标准（元/</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（亩·造））</w:t>
            </w:r>
          </w:p>
        </w:tc>
        <w:tc>
          <w:tcPr>
            <w:tcW w:w="1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lang w:eastAsia="zh-CN"/>
              </w:rPr>
            </w:pPr>
            <w:r>
              <w:rPr>
                <w:rFonts w:hint="eastAsia" w:ascii="仿宋" w:hAnsi="仿宋" w:eastAsia="仿宋" w:cs="仿宋"/>
                <w:b/>
                <w:bCs/>
                <w:i w:val="0"/>
                <w:iCs w:val="0"/>
                <w:color w:val="000000"/>
                <w:kern w:val="0"/>
                <w:sz w:val="28"/>
                <w:szCs w:val="28"/>
                <w:u w:val="none"/>
                <w:lang w:val="en-US" w:eastAsia="zh-CN" w:bidi="ar"/>
              </w:rPr>
              <w:t>补助比例</w:t>
            </w:r>
          </w:p>
        </w:tc>
        <w:tc>
          <w:tcPr>
            <w:tcW w:w="1455"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rPr>
            </w:pPr>
            <w:r>
              <w:rPr>
                <w:rFonts w:hint="eastAsia" w:ascii="仿宋_GB2312" w:hAnsi="宋体" w:eastAsia="仿宋_GB2312" w:cs="仿宋_GB2312"/>
                <w:i w:val="0"/>
                <w:iCs w:val="0"/>
                <w:color w:val="000000"/>
                <w:kern w:val="0"/>
                <w:sz w:val="28"/>
                <w:szCs w:val="28"/>
                <w:u w:val="none"/>
                <w:lang w:val="en-US" w:eastAsia="zh-CN" w:bidi="ar"/>
              </w:rPr>
              <w:t>小农户</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lang w:eastAsia="zh-CN"/>
              </w:rPr>
            </w:pPr>
            <w:r>
              <w:rPr>
                <w:rFonts w:hint="eastAsia" w:ascii="仿宋_GB2312" w:hAnsi="宋体" w:eastAsia="仿宋_GB2312" w:cs="仿宋_GB2312"/>
                <w:i w:val="0"/>
                <w:iCs w:val="0"/>
                <w:color w:val="000000"/>
                <w:kern w:val="0"/>
                <w:sz w:val="28"/>
                <w:szCs w:val="28"/>
                <w:u w:val="none"/>
                <w:lang w:val="en-US" w:eastAsia="zh-CN" w:bidi="ar"/>
              </w:rPr>
              <w:t>航空植保</w:t>
            </w:r>
          </w:p>
        </w:tc>
        <w:tc>
          <w:tcPr>
            <w:tcW w:w="1965"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宋体" w:eastAsia="仿宋_GB2312" w:cs="仿宋_GB2312"/>
                <w:i w:val="0"/>
                <w:iCs w:val="0"/>
                <w:color w:val="000000"/>
                <w:kern w:val="0"/>
                <w:sz w:val="28"/>
                <w:szCs w:val="28"/>
                <w:u w:val="none"/>
                <w:lang w:val="en-US" w:eastAsia="zh-CN" w:bidi="ar"/>
              </w:rPr>
              <w:t>125</w:t>
            </w:r>
          </w:p>
        </w:tc>
        <w:tc>
          <w:tcPr>
            <w:tcW w:w="2034"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宋体" w:eastAsia="仿宋_GB2312" w:cs="仿宋_GB2312"/>
                <w:i w:val="0"/>
                <w:iCs w:val="0"/>
                <w:color w:val="000000"/>
                <w:kern w:val="0"/>
                <w:sz w:val="28"/>
                <w:szCs w:val="28"/>
                <w:u w:val="none"/>
                <w:lang w:val="en-US" w:eastAsia="zh-CN" w:bidi="ar"/>
              </w:rPr>
              <w:t>36</w:t>
            </w:r>
          </w:p>
        </w:tc>
        <w:tc>
          <w:tcPr>
            <w:tcW w:w="13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32"/>
                <w:vertAlign w:val="baseline"/>
                <w:lang w:eastAsia="zh-CN"/>
              </w:rPr>
            </w:pPr>
            <w:r>
              <w:rPr>
                <w:rFonts w:hint="eastAsia" w:ascii="仿宋_GB2312" w:hAnsi="宋体" w:eastAsia="仿宋_GB2312" w:cs="仿宋_GB2312"/>
                <w:i w:val="0"/>
                <w:iCs w:val="0"/>
                <w:color w:val="000000"/>
                <w:kern w:val="0"/>
                <w:sz w:val="28"/>
                <w:szCs w:val="28"/>
                <w:u w:val="none"/>
                <w:lang w:val="en-US" w:eastAsia="zh-CN" w:bidi="ar"/>
              </w:rPr>
              <w:t>28.80%</w:t>
            </w:r>
          </w:p>
        </w:tc>
        <w:tc>
          <w:tcPr>
            <w:tcW w:w="145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包含低毒高效农药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Merge w:val="continue"/>
            <w:vAlign w:val="center"/>
          </w:tcPr>
          <w:p>
            <w:pPr>
              <w:jc w:val="center"/>
              <w:rPr>
                <w:rFonts w:hint="eastAsia" w:ascii="仿宋_GB2312" w:hAnsi="仿宋_GB2312" w:eastAsia="仿宋_GB2312" w:cs="仿宋_GB2312"/>
                <w:b/>
                <w:bCs/>
                <w:sz w:val="32"/>
                <w:szCs w:val="32"/>
                <w:vertAlign w:val="baseline"/>
              </w:rPr>
            </w:pP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32"/>
                <w:vertAlign w:val="baseline"/>
                <w:lang w:eastAsia="zh-CN"/>
              </w:rPr>
            </w:pPr>
            <w:r>
              <w:rPr>
                <w:rFonts w:hint="eastAsia" w:ascii="仿宋_GB2312" w:hAnsi="宋体" w:eastAsia="仿宋_GB2312" w:cs="仿宋_GB2312"/>
                <w:i w:val="0"/>
                <w:iCs w:val="0"/>
                <w:color w:val="000000"/>
                <w:kern w:val="0"/>
                <w:sz w:val="28"/>
                <w:szCs w:val="28"/>
                <w:u w:val="none"/>
                <w:lang w:val="en-US" w:eastAsia="zh-CN" w:bidi="ar"/>
              </w:rPr>
              <w:t>机械烘干</w:t>
            </w:r>
          </w:p>
        </w:tc>
        <w:tc>
          <w:tcPr>
            <w:tcW w:w="1965"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宋体" w:eastAsia="仿宋_GB2312" w:cs="仿宋_GB2312"/>
                <w:i w:val="0"/>
                <w:iCs w:val="0"/>
                <w:color w:val="000000"/>
                <w:kern w:val="0"/>
                <w:sz w:val="28"/>
                <w:szCs w:val="28"/>
                <w:u w:val="none"/>
                <w:lang w:val="en-US" w:eastAsia="zh-CN" w:bidi="ar"/>
              </w:rPr>
              <w:t>140</w:t>
            </w:r>
          </w:p>
        </w:tc>
        <w:tc>
          <w:tcPr>
            <w:tcW w:w="2034"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宋体" w:eastAsia="仿宋_GB2312" w:cs="仿宋_GB2312"/>
                <w:i w:val="0"/>
                <w:iCs w:val="0"/>
                <w:color w:val="000000"/>
                <w:kern w:val="0"/>
                <w:sz w:val="28"/>
                <w:szCs w:val="28"/>
                <w:u w:val="none"/>
                <w:lang w:val="en-US" w:eastAsia="zh-CN" w:bidi="ar"/>
              </w:rPr>
              <w:t>40</w:t>
            </w:r>
          </w:p>
        </w:tc>
        <w:tc>
          <w:tcPr>
            <w:tcW w:w="13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32"/>
                <w:vertAlign w:val="baseline"/>
                <w:lang w:eastAsia="zh-CN"/>
              </w:rPr>
            </w:pPr>
            <w:r>
              <w:rPr>
                <w:rFonts w:hint="eastAsia" w:ascii="仿宋_GB2312" w:hAnsi="宋体" w:eastAsia="仿宋_GB2312" w:cs="仿宋_GB2312"/>
                <w:i w:val="0"/>
                <w:iCs w:val="0"/>
                <w:color w:val="000000"/>
                <w:kern w:val="0"/>
                <w:sz w:val="28"/>
                <w:szCs w:val="28"/>
                <w:u w:val="none"/>
                <w:lang w:val="en-US" w:eastAsia="zh-CN" w:bidi="ar"/>
              </w:rPr>
              <w:t>28.57%</w:t>
            </w:r>
          </w:p>
        </w:tc>
        <w:tc>
          <w:tcPr>
            <w:tcW w:w="145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Merge w:val="continue"/>
            <w:vAlign w:val="center"/>
          </w:tcPr>
          <w:p>
            <w:pPr>
              <w:jc w:val="center"/>
              <w:rPr>
                <w:rFonts w:hint="eastAsia" w:ascii="仿宋_GB2312" w:hAnsi="仿宋_GB2312" w:eastAsia="仿宋_GB2312" w:cs="仿宋_GB2312"/>
                <w:b/>
                <w:bCs/>
                <w:sz w:val="32"/>
                <w:szCs w:val="32"/>
                <w:vertAlign w:val="baseline"/>
                <w:lang w:eastAsia="zh-CN"/>
              </w:rPr>
            </w:pP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宋体" w:eastAsia="仿宋_GB2312" w:cs="仿宋_GB2312"/>
                <w:i w:val="0"/>
                <w:iCs w:val="0"/>
                <w:color w:val="000000"/>
                <w:kern w:val="0"/>
                <w:sz w:val="28"/>
                <w:szCs w:val="28"/>
                <w:u w:val="none"/>
                <w:lang w:val="en-US" w:eastAsia="zh-CN" w:bidi="ar"/>
              </w:rPr>
              <w:t>小计</w:t>
            </w:r>
          </w:p>
        </w:tc>
        <w:tc>
          <w:tcPr>
            <w:tcW w:w="1965"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宋体" w:eastAsia="仿宋_GB2312" w:cs="仿宋_GB2312"/>
                <w:i w:val="0"/>
                <w:iCs w:val="0"/>
                <w:color w:val="000000"/>
                <w:kern w:val="0"/>
                <w:sz w:val="28"/>
                <w:szCs w:val="28"/>
                <w:u w:val="none"/>
                <w:lang w:val="en-US" w:eastAsia="zh-CN" w:bidi="ar"/>
              </w:rPr>
              <w:t>265</w:t>
            </w:r>
          </w:p>
        </w:tc>
        <w:tc>
          <w:tcPr>
            <w:tcW w:w="2034"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宋体" w:eastAsia="仿宋_GB2312" w:cs="仿宋_GB2312"/>
                <w:i w:val="0"/>
                <w:iCs w:val="0"/>
                <w:color w:val="000000"/>
                <w:kern w:val="0"/>
                <w:sz w:val="28"/>
                <w:szCs w:val="28"/>
                <w:u w:val="none"/>
                <w:lang w:val="en-US" w:eastAsia="zh-CN" w:bidi="ar"/>
              </w:rPr>
              <w:t>76</w:t>
            </w:r>
          </w:p>
        </w:tc>
        <w:tc>
          <w:tcPr>
            <w:tcW w:w="1326" w:type="dxa"/>
            <w:vAlign w:val="center"/>
          </w:tcPr>
          <w:p>
            <w:pPr>
              <w:jc w:val="center"/>
              <w:rPr>
                <w:rFonts w:hint="eastAsia" w:ascii="仿宋_GB2312" w:hAnsi="仿宋_GB2312" w:eastAsia="仿宋_GB2312" w:cs="仿宋_GB2312"/>
                <w:b w:val="0"/>
                <w:bCs w:val="0"/>
                <w:sz w:val="32"/>
                <w:szCs w:val="32"/>
                <w:vertAlign w:val="baseline"/>
                <w:lang w:eastAsia="zh-CN"/>
              </w:rPr>
            </w:pPr>
          </w:p>
        </w:tc>
        <w:tc>
          <w:tcPr>
            <w:tcW w:w="1455" w:type="dxa"/>
            <w:vAlign w:val="center"/>
          </w:tcPr>
          <w:p>
            <w:pPr>
              <w:jc w:val="center"/>
              <w:rPr>
                <w:rFonts w:hint="eastAsia" w:ascii="仿宋_GB2312" w:hAnsi="仿宋_GB2312" w:eastAsia="仿宋_GB2312" w:cs="仿宋_GB2312"/>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rPr>
            </w:pPr>
            <w:r>
              <w:rPr>
                <w:rFonts w:hint="eastAsia" w:ascii="仿宋_GB2312" w:hAnsi="宋体" w:eastAsia="仿宋_GB2312" w:cs="仿宋_GB2312"/>
                <w:i w:val="0"/>
                <w:iCs w:val="0"/>
                <w:color w:val="000000"/>
                <w:kern w:val="0"/>
                <w:sz w:val="28"/>
                <w:szCs w:val="28"/>
                <w:u w:val="none"/>
                <w:lang w:val="en-US" w:eastAsia="zh-CN" w:bidi="ar"/>
              </w:rPr>
              <w:t>规模经营主体</w:t>
            </w: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sz w:val="32"/>
                <w:szCs w:val="32"/>
                <w:vertAlign w:val="baseline"/>
                <w:lang w:eastAsia="zh-CN"/>
              </w:rPr>
            </w:pPr>
            <w:r>
              <w:rPr>
                <w:rFonts w:hint="eastAsia" w:ascii="仿宋_GB2312" w:hAnsi="宋体" w:eastAsia="仿宋_GB2312" w:cs="仿宋_GB2312"/>
                <w:i w:val="0"/>
                <w:iCs w:val="0"/>
                <w:color w:val="000000"/>
                <w:kern w:val="0"/>
                <w:sz w:val="28"/>
                <w:szCs w:val="28"/>
                <w:u w:val="none"/>
                <w:lang w:val="en-US" w:eastAsia="zh-CN" w:bidi="ar"/>
              </w:rPr>
              <w:t>航空植保</w:t>
            </w:r>
          </w:p>
        </w:tc>
        <w:tc>
          <w:tcPr>
            <w:tcW w:w="1965"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宋体" w:eastAsia="仿宋_GB2312" w:cs="仿宋_GB2312"/>
                <w:i w:val="0"/>
                <w:iCs w:val="0"/>
                <w:color w:val="000000"/>
                <w:kern w:val="0"/>
                <w:sz w:val="28"/>
                <w:szCs w:val="28"/>
                <w:u w:val="none"/>
                <w:lang w:val="en-US" w:eastAsia="zh-CN" w:bidi="ar"/>
              </w:rPr>
              <w:t>125</w:t>
            </w:r>
          </w:p>
        </w:tc>
        <w:tc>
          <w:tcPr>
            <w:tcW w:w="2034"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宋体" w:cs="仿宋_GB2312"/>
                <w:i w:val="0"/>
                <w:iCs w:val="0"/>
                <w:color w:val="000000"/>
                <w:kern w:val="0"/>
                <w:sz w:val="28"/>
                <w:szCs w:val="28"/>
                <w:u w:val="none"/>
                <w:lang w:val="en-US" w:eastAsia="zh-CN" w:bidi="ar"/>
              </w:rPr>
              <w:t>34</w:t>
            </w:r>
          </w:p>
        </w:tc>
        <w:tc>
          <w:tcPr>
            <w:tcW w:w="1326" w:type="dxa"/>
            <w:vAlign w:val="center"/>
          </w:tcPr>
          <w:p>
            <w:pPr>
              <w:keepNext w:val="0"/>
              <w:keepLines w:val="0"/>
              <w:widowControl/>
              <w:suppressLineNumbers w:val="0"/>
              <w:jc w:val="center"/>
              <w:textAlignment w:val="center"/>
              <w:rPr>
                <w:rFonts w:hint="eastAsia" w:ascii="仿宋_GB2312" w:hAnsi="仿宋_GB2312" w:eastAsia="仿宋_GB2312" w:cs="仿宋_GB2312"/>
                <w:b/>
                <w:bCs/>
                <w:sz w:val="32"/>
                <w:szCs w:val="32"/>
                <w:vertAlign w:val="baseline"/>
              </w:rPr>
            </w:pPr>
            <w:r>
              <w:rPr>
                <w:rFonts w:hint="eastAsia" w:ascii="仿宋_GB2312" w:hAnsi="宋体" w:eastAsia="仿宋_GB2312" w:cs="仿宋_GB2312"/>
                <w:i w:val="0"/>
                <w:iCs w:val="0"/>
                <w:color w:val="000000"/>
                <w:kern w:val="0"/>
                <w:sz w:val="28"/>
                <w:szCs w:val="28"/>
                <w:u w:val="none"/>
                <w:lang w:val="en-US" w:eastAsia="zh-CN" w:bidi="ar"/>
              </w:rPr>
              <w:t>27</w:t>
            </w:r>
            <w:r>
              <w:rPr>
                <w:rFonts w:hint="eastAsia" w:ascii="仿宋_GB2312" w:hAnsi="宋体" w:cs="仿宋_GB2312"/>
                <w:i w:val="0"/>
                <w:iCs w:val="0"/>
                <w:color w:val="000000"/>
                <w:kern w:val="0"/>
                <w:sz w:val="28"/>
                <w:szCs w:val="28"/>
                <w:u w:val="none"/>
                <w:lang w:val="en-US" w:eastAsia="zh-CN" w:bidi="ar"/>
              </w:rPr>
              <w:t>.2</w:t>
            </w:r>
            <w:r>
              <w:rPr>
                <w:rFonts w:hint="eastAsia" w:ascii="仿宋_GB2312" w:hAnsi="宋体" w:eastAsia="仿宋_GB2312" w:cs="仿宋_GB2312"/>
                <w:i w:val="0"/>
                <w:iCs w:val="0"/>
                <w:color w:val="000000"/>
                <w:kern w:val="0"/>
                <w:sz w:val="28"/>
                <w:szCs w:val="28"/>
                <w:u w:val="none"/>
                <w:lang w:val="en-US" w:eastAsia="zh-CN" w:bidi="ar"/>
              </w:rPr>
              <w:t>%</w:t>
            </w:r>
          </w:p>
        </w:tc>
        <w:tc>
          <w:tcPr>
            <w:tcW w:w="145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包含低毒高效农药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Merge w:val="continue"/>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机械烘干</w:t>
            </w:r>
          </w:p>
        </w:tc>
        <w:tc>
          <w:tcPr>
            <w:tcW w:w="19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140</w:t>
            </w:r>
          </w:p>
        </w:tc>
        <w:tc>
          <w:tcPr>
            <w:tcW w:w="2034"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宋体" w:cs="仿宋_GB2312"/>
                <w:i w:val="0"/>
                <w:iCs w:val="0"/>
                <w:color w:val="000000"/>
                <w:kern w:val="0"/>
                <w:sz w:val="28"/>
                <w:szCs w:val="28"/>
                <w:u w:val="none"/>
                <w:lang w:val="en-US" w:eastAsia="zh-CN" w:bidi="ar"/>
              </w:rPr>
              <w:t>38</w:t>
            </w:r>
          </w:p>
        </w:tc>
        <w:tc>
          <w:tcPr>
            <w:tcW w:w="132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宋体" w:cs="仿宋_GB2312"/>
                <w:i w:val="0"/>
                <w:iCs w:val="0"/>
                <w:color w:val="000000"/>
                <w:kern w:val="0"/>
                <w:sz w:val="28"/>
                <w:szCs w:val="28"/>
                <w:u w:val="none"/>
                <w:lang w:val="en-US" w:eastAsia="zh-CN" w:bidi="ar"/>
              </w:rPr>
              <w:t>2</w:t>
            </w:r>
            <w:r>
              <w:rPr>
                <w:rFonts w:hint="eastAsia" w:ascii="仿宋_GB2312" w:hAnsi="宋体" w:eastAsia="仿宋_GB2312" w:cs="仿宋_GB2312"/>
                <w:i w:val="0"/>
                <w:iCs w:val="0"/>
                <w:color w:val="000000"/>
                <w:kern w:val="0"/>
                <w:sz w:val="28"/>
                <w:szCs w:val="28"/>
                <w:u w:val="none"/>
                <w:lang w:val="en-US" w:eastAsia="zh-CN" w:bidi="ar"/>
              </w:rPr>
              <w:t>7</w:t>
            </w:r>
            <w:r>
              <w:rPr>
                <w:rFonts w:hint="eastAsia" w:ascii="仿宋_GB2312" w:hAnsi="宋体" w:cs="仿宋_GB2312"/>
                <w:i w:val="0"/>
                <w:iCs w:val="0"/>
                <w:color w:val="000000"/>
                <w:kern w:val="0"/>
                <w:sz w:val="28"/>
                <w:szCs w:val="28"/>
                <w:u w:val="none"/>
                <w:lang w:val="en-US" w:eastAsia="zh-CN" w:bidi="ar"/>
              </w:rPr>
              <w:t>.14</w:t>
            </w:r>
            <w:r>
              <w:rPr>
                <w:rFonts w:hint="eastAsia" w:ascii="仿宋_GB2312" w:hAnsi="宋体" w:eastAsia="仿宋_GB2312" w:cs="仿宋_GB2312"/>
                <w:i w:val="0"/>
                <w:iCs w:val="0"/>
                <w:color w:val="000000"/>
                <w:kern w:val="0"/>
                <w:sz w:val="28"/>
                <w:szCs w:val="28"/>
                <w:u w:val="none"/>
                <w:lang w:val="en-US" w:eastAsia="zh-CN" w:bidi="ar"/>
              </w:rPr>
              <w:t>%</w:t>
            </w:r>
          </w:p>
        </w:tc>
        <w:tc>
          <w:tcPr>
            <w:tcW w:w="145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Merge w:val="continue"/>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20"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小计</w:t>
            </w:r>
          </w:p>
        </w:tc>
        <w:tc>
          <w:tcPr>
            <w:tcW w:w="1965"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kern w:val="2"/>
                <w:sz w:val="32"/>
                <w:szCs w:val="32"/>
                <w:vertAlign w:val="baseli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265</w:t>
            </w:r>
          </w:p>
        </w:tc>
        <w:tc>
          <w:tcPr>
            <w:tcW w:w="2034"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宋体" w:cs="仿宋_GB2312"/>
                <w:i w:val="0"/>
                <w:iCs w:val="0"/>
                <w:color w:val="000000"/>
                <w:kern w:val="0"/>
                <w:sz w:val="28"/>
                <w:szCs w:val="28"/>
                <w:u w:val="none"/>
                <w:lang w:val="en-US" w:eastAsia="zh-CN" w:bidi="ar"/>
              </w:rPr>
              <w:t>72</w:t>
            </w:r>
          </w:p>
        </w:tc>
        <w:tc>
          <w:tcPr>
            <w:tcW w:w="1326" w:type="dxa"/>
            <w:vAlign w:val="center"/>
          </w:tcPr>
          <w:p>
            <w:pPr>
              <w:jc w:val="center"/>
              <w:rPr>
                <w:rFonts w:hint="eastAsia" w:ascii="仿宋_GB2312" w:hAnsi="仿宋_GB2312" w:eastAsia="仿宋_GB2312" w:cs="仿宋_GB2312"/>
                <w:b w:val="0"/>
                <w:bCs w:val="0"/>
                <w:kern w:val="2"/>
                <w:sz w:val="32"/>
                <w:szCs w:val="32"/>
                <w:vertAlign w:val="baseline"/>
                <w:lang w:val="en-US" w:eastAsia="zh-CN" w:bidi="ar-SA"/>
              </w:rPr>
            </w:pPr>
          </w:p>
        </w:tc>
        <w:tc>
          <w:tcPr>
            <w:tcW w:w="1455"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r>
    </w:tbl>
    <w:p>
      <w:pPr>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24"/>
          <w:szCs w:val="24"/>
          <w:lang w:val="en-US" w:eastAsia="zh-CN"/>
        </w:rPr>
        <w:t>注：选择单环节服务按单环节进行补助，选择多环节服务最高补助不超过76元/亩。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（三）补助方式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采取先服务后补贴的支持方式。服务组织要与接受农业生产社会化服务的小农户、规模经营主体签订服务合同，明确双方的责任和义务。</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财政局按照先服务后补助方式，根据服务合同实际作业量对服务主体进行补助。2021年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rPr>
        <w:t>日以来已签订托管服务合同并实际发生的作业量（仅限本区服务）可以纳入补助范围。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四、申报程序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项目申报单位按指南要求编写实施方案（见附件2），明确生产托管服务的作物、关键环节及面积；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农业农村局根据申请情况，组织专家择优评选托管服务单位。申报单位对申报材料的真实性、方案的可行性负责，如有虚假，必须承担全部责任。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五、申报时间及需提交资料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本项目申报时间截止至</w:t>
      </w:r>
      <w:r>
        <w:rPr>
          <w:rFonts w:hint="eastAsia" w:ascii="仿宋_GB2312" w:hAnsi="仿宋_GB2312" w:cs="仿宋_GB2312"/>
          <w:sz w:val="32"/>
          <w:szCs w:val="32"/>
          <w:lang w:val="en-US" w:eastAsia="zh-CN"/>
        </w:rPr>
        <w:t>7月7日</w:t>
      </w:r>
      <w:r>
        <w:rPr>
          <w:rFonts w:hint="eastAsia" w:ascii="仿宋_GB2312" w:hAnsi="仿宋_GB2312" w:eastAsia="仿宋_GB2312" w:cs="仿宋_GB2312"/>
          <w:sz w:val="32"/>
          <w:szCs w:val="32"/>
        </w:rPr>
        <w:t>17︰00，逾期不再受理。申报单位将所有书面材料盖章件及相关材料汇编成册，一式</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份提交至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农业农村局，报送书面材料的同时，一并报送电子版。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六、联系方式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1</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书面材料报送地址：翁源县农业农村局乡村产业发展与农村合作经济指导股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eastAsia="zh-CN"/>
        </w:rPr>
        <w:t>　　2</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联系人及电话：陈宜光</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13</w:t>
      </w:r>
      <w:r>
        <w:rPr>
          <w:rFonts w:hint="eastAsia" w:ascii="仿宋_GB2312" w:hAnsi="仿宋_GB2312" w:cs="仿宋_GB2312"/>
          <w:sz w:val="32"/>
          <w:szCs w:val="32"/>
          <w:lang w:val="en-US" w:eastAsia="zh-CN"/>
        </w:rPr>
        <w:t>112030872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eastAsia="zh-CN"/>
        </w:rPr>
        <w:t>　　3</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办公室电话：</w:t>
      </w:r>
      <w:r>
        <w:rPr>
          <w:rFonts w:hint="eastAsia" w:ascii="仿宋_GB2312" w:hAnsi="仿宋_GB2312" w:cs="仿宋_GB2312"/>
          <w:sz w:val="32"/>
          <w:szCs w:val="32"/>
          <w:lang w:val="en-US" w:eastAsia="zh-CN"/>
        </w:rPr>
        <w:t>2872720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1582C"/>
    <w:rsid w:val="00222011"/>
    <w:rsid w:val="002700E0"/>
    <w:rsid w:val="00D77085"/>
    <w:rsid w:val="011145CD"/>
    <w:rsid w:val="013C27CB"/>
    <w:rsid w:val="015C5E75"/>
    <w:rsid w:val="01AF44FA"/>
    <w:rsid w:val="01B35D27"/>
    <w:rsid w:val="02905917"/>
    <w:rsid w:val="034F7B86"/>
    <w:rsid w:val="03AF53E1"/>
    <w:rsid w:val="044E4915"/>
    <w:rsid w:val="049A7E4B"/>
    <w:rsid w:val="04E47779"/>
    <w:rsid w:val="04F739DE"/>
    <w:rsid w:val="050D46FB"/>
    <w:rsid w:val="05A91BAE"/>
    <w:rsid w:val="06707908"/>
    <w:rsid w:val="06C0650B"/>
    <w:rsid w:val="087956D4"/>
    <w:rsid w:val="08BE3DDF"/>
    <w:rsid w:val="09753CE5"/>
    <w:rsid w:val="098B58D4"/>
    <w:rsid w:val="09AA55BC"/>
    <w:rsid w:val="0A537312"/>
    <w:rsid w:val="0A8970B4"/>
    <w:rsid w:val="0AC807AE"/>
    <w:rsid w:val="0AE62806"/>
    <w:rsid w:val="0D287884"/>
    <w:rsid w:val="0D4040F9"/>
    <w:rsid w:val="0EB821F4"/>
    <w:rsid w:val="0F1446C2"/>
    <w:rsid w:val="0F173333"/>
    <w:rsid w:val="0F4F0A38"/>
    <w:rsid w:val="0FAB2A2D"/>
    <w:rsid w:val="10436776"/>
    <w:rsid w:val="10CC1B6F"/>
    <w:rsid w:val="10D740E2"/>
    <w:rsid w:val="11091659"/>
    <w:rsid w:val="111C33DA"/>
    <w:rsid w:val="112E320B"/>
    <w:rsid w:val="11693345"/>
    <w:rsid w:val="128E1FED"/>
    <w:rsid w:val="13E60A1C"/>
    <w:rsid w:val="13F03C4F"/>
    <w:rsid w:val="144E5B4B"/>
    <w:rsid w:val="146871F1"/>
    <w:rsid w:val="14866F4A"/>
    <w:rsid w:val="157C602F"/>
    <w:rsid w:val="1584560D"/>
    <w:rsid w:val="159E5C31"/>
    <w:rsid w:val="16460357"/>
    <w:rsid w:val="174A2932"/>
    <w:rsid w:val="176B7ED6"/>
    <w:rsid w:val="17C153DC"/>
    <w:rsid w:val="17ED4CA7"/>
    <w:rsid w:val="18072BAD"/>
    <w:rsid w:val="1A6D7AD5"/>
    <w:rsid w:val="1A7B599C"/>
    <w:rsid w:val="1AA93F1A"/>
    <w:rsid w:val="1AEA6356"/>
    <w:rsid w:val="1B3300CB"/>
    <w:rsid w:val="1B5639E2"/>
    <w:rsid w:val="1B810C79"/>
    <w:rsid w:val="1BA70BBD"/>
    <w:rsid w:val="1BCB2B86"/>
    <w:rsid w:val="1C906EF1"/>
    <w:rsid w:val="1DF22735"/>
    <w:rsid w:val="1DF56A42"/>
    <w:rsid w:val="1E0734EC"/>
    <w:rsid w:val="1E134F51"/>
    <w:rsid w:val="1E44060F"/>
    <w:rsid w:val="1E7557BB"/>
    <w:rsid w:val="1EDB1289"/>
    <w:rsid w:val="1EE52E5E"/>
    <w:rsid w:val="1EF03E33"/>
    <w:rsid w:val="1F103362"/>
    <w:rsid w:val="200C37E7"/>
    <w:rsid w:val="20C05CC5"/>
    <w:rsid w:val="20D126C7"/>
    <w:rsid w:val="213304D9"/>
    <w:rsid w:val="214C54BD"/>
    <w:rsid w:val="21FA081B"/>
    <w:rsid w:val="22E3563B"/>
    <w:rsid w:val="23690517"/>
    <w:rsid w:val="23AD630A"/>
    <w:rsid w:val="23EE290C"/>
    <w:rsid w:val="24C82E82"/>
    <w:rsid w:val="24F73033"/>
    <w:rsid w:val="253146DB"/>
    <w:rsid w:val="263743AF"/>
    <w:rsid w:val="26732792"/>
    <w:rsid w:val="268252E2"/>
    <w:rsid w:val="26A560BF"/>
    <w:rsid w:val="27445ED7"/>
    <w:rsid w:val="27EA188D"/>
    <w:rsid w:val="292648EB"/>
    <w:rsid w:val="2ACE69A8"/>
    <w:rsid w:val="2ADF02C4"/>
    <w:rsid w:val="2BE366D7"/>
    <w:rsid w:val="2BE84DC9"/>
    <w:rsid w:val="2BF64D2C"/>
    <w:rsid w:val="2C4267A7"/>
    <w:rsid w:val="2C8811AA"/>
    <w:rsid w:val="2CBF4B84"/>
    <w:rsid w:val="2D216F5A"/>
    <w:rsid w:val="2D723C90"/>
    <w:rsid w:val="2DC402F5"/>
    <w:rsid w:val="2E2013CA"/>
    <w:rsid w:val="2E495E02"/>
    <w:rsid w:val="2EA45780"/>
    <w:rsid w:val="2EDA58A3"/>
    <w:rsid w:val="2F2917A1"/>
    <w:rsid w:val="2F3D34C7"/>
    <w:rsid w:val="2FAA14CF"/>
    <w:rsid w:val="2FF14C86"/>
    <w:rsid w:val="30004CB6"/>
    <w:rsid w:val="309D7FB3"/>
    <w:rsid w:val="32982ABF"/>
    <w:rsid w:val="34614925"/>
    <w:rsid w:val="35795AFE"/>
    <w:rsid w:val="361332B7"/>
    <w:rsid w:val="36AE50EA"/>
    <w:rsid w:val="36BB3EB8"/>
    <w:rsid w:val="370A7E10"/>
    <w:rsid w:val="37824129"/>
    <w:rsid w:val="38193C2E"/>
    <w:rsid w:val="38A875BF"/>
    <w:rsid w:val="38D6665E"/>
    <w:rsid w:val="399359C6"/>
    <w:rsid w:val="3A8D7D03"/>
    <w:rsid w:val="3AF03AA0"/>
    <w:rsid w:val="3B936454"/>
    <w:rsid w:val="3C0307DD"/>
    <w:rsid w:val="3D354083"/>
    <w:rsid w:val="3D5B5BC9"/>
    <w:rsid w:val="3E8A7B1B"/>
    <w:rsid w:val="3EB9576F"/>
    <w:rsid w:val="3EC65E12"/>
    <w:rsid w:val="3F9C3A3D"/>
    <w:rsid w:val="40071ED2"/>
    <w:rsid w:val="401B410B"/>
    <w:rsid w:val="40DA791D"/>
    <w:rsid w:val="411E7895"/>
    <w:rsid w:val="419F25E9"/>
    <w:rsid w:val="41E97F96"/>
    <w:rsid w:val="42B713AF"/>
    <w:rsid w:val="42CD6589"/>
    <w:rsid w:val="43C01094"/>
    <w:rsid w:val="448316B5"/>
    <w:rsid w:val="44E46EA6"/>
    <w:rsid w:val="44F0006C"/>
    <w:rsid w:val="45525DF2"/>
    <w:rsid w:val="45610829"/>
    <w:rsid w:val="460A6838"/>
    <w:rsid w:val="46641218"/>
    <w:rsid w:val="46B10ABD"/>
    <w:rsid w:val="46C5600A"/>
    <w:rsid w:val="473179CD"/>
    <w:rsid w:val="47334D37"/>
    <w:rsid w:val="47657998"/>
    <w:rsid w:val="47CF032B"/>
    <w:rsid w:val="47E23C6B"/>
    <w:rsid w:val="4894778E"/>
    <w:rsid w:val="48C91CC0"/>
    <w:rsid w:val="494C2EA1"/>
    <w:rsid w:val="4A6D1441"/>
    <w:rsid w:val="4A732195"/>
    <w:rsid w:val="4B353336"/>
    <w:rsid w:val="4B3E7821"/>
    <w:rsid w:val="4D3F4A7B"/>
    <w:rsid w:val="4DCF7713"/>
    <w:rsid w:val="4E597F30"/>
    <w:rsid w:val="4EF17742"/>
    <w:rsid w:val="4F2D75AA"/>
    <w:rsid w:val="4F3C5813"/>
    <w:rsid w:val="4FA62A9A"/>
    <w:rsid w:val="501D5E96"/>
    <w:rsid w:val="50B0377D"/>
    <w:rsid w:val="52087C9E"/>
    <w:rsid w:val="520D1C83"/>
    <w:rsid w:val="52A0025A"/>
    <w:rsid w:val="52A93CEC"/>
    <w:rsid w:val="52FB6406"/>
    <w:rsid w:val="53831A29"/>
    <w:rsid w:val="53C322A2"/>
    <w:rsid w:val="54E87E9A"/>
    <w:rsid w:val="55823ADC"/>
    <w:rsid w:val="558E622A"/>
    <w:rsid w:val="55C52065"/>
    <w:rsid w:val="55CA2262"/>
    <w:rsid w:val="56201EFD"/>
    <w:rsid w:val="562627C4"/>
    <w:rsid w:val="56875522"/>
    <w:rsid w:val="569B5DEB"/>
    <w:rsid w:val="56B920A3"/>
    <w:rsid w:val="572D5E72"/>
    <w:rsid w:val="57F76E7E"/>
    <w:rsid w:val="589A7B45"/>
    <w:rsid w:val="58A830ED"/>
    <w:rsid w:val="58AE2474"/>
    <w:rsid w:val="58B1582C"/>
    <w:rsid w:val="58E005CF"/>
    <w:rsid w:val="5902328A"/>
    <w:rsid w:val="59115E43"/>
    <w:rsid w:val="59347E4F"/>
    <w:rsid w:val="597B3F19"/>
    <w:rsid w:val="597D4679"/>
    <w:rsid w:val="59B45E9C"/>
    <w:rsid w:val="59F03CD3"/>
    <w:rsid w:val="5A721527"/>
    <w:rsid w:val="5A7805C3"/>
    <w:rsid w:val="5B120607"/>
    <w:rsid w:val="5BD646D1"/>
    <w:rsid w:val="5C0F2BDE"/>
    <w:rsid w:val="5C887CFE"/>
    <w:rsid w:val="5D0C4612"/>
    <w:rsid w:val="5D29055F"/>
    <w:rsid w:val="5DAC3170"/>
    <w:rsid w:val="5DF52359"/>
    <w:rsid w:val="5E584832"/>
    <w:rsid w:val="5E655D33"/>
    <w:rsid w:val="5E880A39"/>
    <w:rsid w:val="5ED777AE"/>
    <w:rsid w:val="5EEE6302"/>
    <w:rsid w:val="5F2009E5"/>
    <w:rsid w:val="5FA43D65"/>
    <w:rsid w:val="5FE74D01"/>
    <w:rsid w:val="60956034"/>
    <w:rsid w:val="609A360C"/>
    <w:rsid w:val="60D32985"/>
    <w:rsid w:val="6158046F"/>
    <w:rsid w:val="61722690"/>
    <w:rsid w:val="61B02CC1"/>
    <w:rsid w:val="622456CE"/>
    <w:rsid w:val="622C6541"/>
    <w:rsid w:val="63B7439E"/>
    <w:rsid w:val="64005B5C"/>
    <w:rsid w:val="646C40EE"/>
    <w:rsid w:val="64722AF3"/>
    <w:rsid w:val="64D73784"/>
    <w:rsid w:val="64D87812"/>
    <w:rsid w:val="65E40F36"/>
    <w:rsid w:val="665119DA"/>
    <w:rsid w:val="670C464D"/>
    <w:rsid w:val="67280680"/>
    <w:rsid w:val="673D2A41"/>
    <w:rsid w:val="677250C3"/>
    <w:rsid w:val="67EC71A1"/>
    <w:rsid w:val="69437237"/>
    <w:rsid w:val="6A323566"/>
    <w:rsid w:val="6A462A7A"/>
    <w:rsid w:val="6A6248EB"/>
    <w:rsid w:val="6B477881"/>
    <w:rsid w:val="6BC701E1"/>
    <w:rsid w:val="6C0C5FB1"/>
    <w:rsid w:val="6C924191"/>
    <w:rsid w:val="6DAB69DF"/>
    <w:rsid w:val="6DCD2A1F"/>
    <w:rsid w:val="6DEC6B49"/>
    <w:rsid w:val="6E1C7977"/>
    <w:rsid w:val="6F447A0E"/>
    <w:rsid w:val="6F4554D0"/>
    <w:rsid w:val="6F9A2695"/>
    <w:rsid w:val="706E6A1C"/>
    <w:rsid w:val="71584C24"/>
    <w:rsid w:val="71AF48D6"/>
    <w:rsid w:val="71C25789"/>
    <w:rsid w:val="71F54B4D"/>
    <w:rsid w:val="73491817"/>
    <w:rsid w:val="737B648F"/>
    <w:rsid w:val="73CB5E56"/>
    <w:rsid w:val="7419566B"/>
    <w:rsid w:val="74283CFD"/>
    <w:rsid w:val="742F46F0"/>
    <w:rsid w:val="74786847"/>
    <w:rsid w:val="74B45452"/>
    <w:rsid w:val="74FB3FBA"/>
    <w:rsid w:val="750039E4"/>
    <w:rsid w:val="75F97ACC"/>
    <w:rsid w:val="763E011F"/>
    <w:rsid w:val="77241E6E"/>
    <w:rsid w:val="77C013F9"/>
    <w:rsid w:val="788D4F93"/>
    <w:rsid w:val="78AA31ED"/>
    <w:rsid w:val="791F3979"/>
    <w:rsid w:val="7934394A"/>
    <w:rsid w:val="793A5A39"/>
    <w:rsid w:val="79C012B2"/>
    <w:rsid w:val="7A593F84"/>
    <w:rsid w:val="7AA53C6E"/>
    <w:rsid w:val="7BC45A83"/>
    <w:rsid w:val="7D5E619B"/>
    <w:rsid w:val="7E4C39EB"/>
    <w:rsid w:val="7E6946C4"/>
    <w:rsid w:val="7EB66CC7"/>
    <w:rsid w:val="7F065DBE"/>
    <w:rsid w:val="7F40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uiPriority w:val="0"/>
    <w:pPr>
      <w:keepNext/>
      <w:keepLines/>
      <w:spacing w:before="260" w:beforeLines="0" w:after="260" w:afterLines="0" w:line="416" w:lineRule="auto"/>
      <w:outlineLvl w:val="2"/>
    </w:pPr>
    <w:rPr>
      <w:b/>
      <w:bCs/>
      <w:sz w:val="32"/>
      <w:szCs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2021-07-01T02:06:00Z</dcterms:created>
  <dc:creator>Administrator</dc:creator>
  <cp:lastModifiedBy>Administrator</cp:lastModifiedBy>
  <dcterms:modified xsi:type="dcterms:W3CDTF">2021-07-01T02:08:59Z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