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21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年二季度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</w:p>
    <w:p>
      <w:pPr>
        <w:spacing w:after="156"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Style w:val="5"/>
        <w:tblW w:w="14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17"/>
        <w:gridCol w:w="1257"/>
        <w:gridCol w:w="843"/>
        <w:gridCol w:w="957"/>
        <w:gridCol w:w="1350"/>
        <w:gridCol w:w="4237"/>
        <w:gridCol w:w="1125"/>
        <w:gridCol w:w="80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、游离余氯。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翁源县龙仙镇德政路331号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</w:t>
            </w:r>
            <w:bookmarkStart w:id="0" w:name="_GoBack"/>
            <w:bookmarkEnd w:id="0"/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1257" w:type="dxa"/>
          </w:tcPr>
          <w:p>
            <w:pPr>
              <w:spacing w:before="280" w:beforeLines="90" w:after="28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翁源县铁龙镇铁龙大道东永红路308号（铁龙学校）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铁龙镇源泉供水有限公司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翁源县新江镇民新路3号（新江镇新街自来水公司营业厅）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新江镇新街自来水公司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2021.05.13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翁英路（翁城德润自来水有限公司营业厅）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翁城德润自来水有限公司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>
            <w:pPr>
              <w:spacing w:before="312" w:beforeLines="100" w:after="312" w:afterLines="100" w:line="220" w:lineRule="atLeast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翁源县官渡镇华榕大道（官渡镇六重水供水营业厅）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 w:line="220" w:lineRule="atLeast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官渡镇六重水供水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</w:rPr>
              <w:t>2021.05.14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717" w:type="dxa"/>
          </w:tcPr>
          <w:p>
            <w:pPr>
              <w:spacing w:before="312" w:beforeLines="100" w:after="312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翁源县官渡镇赤桉北路2号（翁源县官渡中学）</w:t>
            </w:r>
          </w:p>
        </w:tc>
        <w:tc>
          <w:tcPr>
            <w:tcW w:w="1257" w:type="dxa"/>
          </w:tcPr>
          <w:p>
            <w:pPr>
              <w:spacing w:before="468" w:beforeLines="150" w:after="468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官渡清泉自来水厂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717" w:type="dxa"/>
          </w:tcPr>
          <w:p>
            <w:pPr>
              <w:spacing w:before="468" w:beforeLines="150" w:after="468" w:afterLines="150" w:line="220" w:lineRule="atLeast"/>
              <w:ind w:left="105" w:leftChars="50"/>
              <w:rPr>
                <w:rStyle w:val="8"/>
                <w:rFonts w:asci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sz w:val="24"/>
                <w:szCs w:val="24"/>
              </w:rPr>
              <w:t>龙仙镇桂竹村委会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 w:line="220" w:lineRule="atLeast"/>
              <w:ind w:left="-105" w:leftChars="-50"/>
              <w:rPr>
                <w:rStyle w:val="8"/>
                <w:rFonts w:asci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sz w:val="24"/>
                <w:szCs w:val="24"/>
              </w:rPr>
              <w:t>翁源县八仙泉自来水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1.05.12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717" w:type="dxa"/>
          </w:tcPr>
          <w:p>
            <w:pPr>
              <w:spacing w:before="468" w:beforeLines="150" w:after="468" w:afterLines="150" w:line="220" w:lineRule="atLeast"/>
              <w:ind w:left="105" w:leftChars="50"/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周陂镇光明村下田组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 w:line="220" w:lineRule="atLeast"/>
              <w:ind w:left="-105" w:leftChars="-50"/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翁源县龙泽水资源发展投资有限公司翁源周陂水厂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1.05.12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717" w:type="dxa"/>
          </w:tcPr>
          <w:p>
            <w:pPr>
              <w:spacing w:before="468" w:beforeLines="150" w:after="468" w:afterLines="150" w:line="220" w:lineRule="atLeast"/>
              <w:ind w:left="105" w:leftChars="50"/>
              <w:rPr>
                <w:rStyle w:val="8"/>
                <w:rFonts w:asci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sz w:val="24"/>
                <w:szCs w:val="24"/>
              </w:rPr>
              <w:t>坝仔镇建设</w:t>
            </w:r>
            <w:r>
              <w:rPr>
                <w:rStyle w:val="8"/>
                <w:rFonts w:hint="eastAsia" w:ascii="宋体"/>
                <w:sz w:val="24"/>
                <w:szCs w:val="24"/>
              </w:rPr>
              <w:t>南</w:t>
            </w:r>
            <w:r>
              <w:rPr>
                <w:rStyle w:val="8"/>
                <w:rFonts w:hint="eastAsia" w:ascii="宋体" w:eastAsia="宋体"/>
                <w:sz w:val="24"/>
                <w:szCs w:val="24"/>
              </w:rPr>
              <w:t>路（坝仔镇</w:t>
            </w:r>
            <w:r>
              <w:rPr>
                <w:rStyle w:val="8"/>
                <w:rFonts w:hint="eastAsia" w:ascii="宋体"/>
                <w:sz w:val="24"/>
                <w:szCs w:val="24"/>
              </w:rPr>
              <w:t>人民</w:t>
            </w:r>
            <w:r>
              <w:rPr>
                <w:rStyle w:val="8"/>
                <w:rFonts w:hint="eastAsia" w:ascii="宋体" w:eastAsia="宋体"/>
                <w:sz w:val="24"/>
                <w:szCs w:val="24"/>
              </w:rPr>
              <w:t>政府）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 w:line="220" w:lineRule="atLeast"/>
              <w:ind w:left="-105" w:leftChars="-50"/>
              <w:rPr>
                <w:rStyle w:val="8"/>
                <w:rFonts w:asci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sz w:val="24"/>
                <w:szCs w:val="24"/>
              </w:rPr>
              <w:t>坝仔镇供水管理站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1.05.18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>
            <w:pPr>
              <w:spacing w:before="468" w:beforeLines="150" w:after="468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江尾镇建设一路56号（江尾镇中心小学）</w:t>
            </w:r>
          </w:p>
        </w:tc>
        <w:tc>
          <w:tcPr>
            <w:tcW w:w="1257" w:type="dxa"/>
          </w:tcPr>
          <w:p>
            <w:pPr>
              <w:spacing w:before="312" w:beforeLines="100" w:after="312" w:afterLines="100" w:line="220" w:lineRule="atLeast"/>
              <w:ind w:left="-105" w:leftChars="-50"/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翁源县龙泽水资源发展投资有限公司翁源江尾水厂</w:t>
            </w:r>
          </w:p>
        </w:tc>
        <w:tc>
          <w:tcPr>
            <w:tcW w:w="843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="312" w:beforeLines="100" w:after="312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</w:rPr>
              <w:t>1.05.18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="156"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sectPr>
      <w:headerReference r:id="rId3" w:type="default"/>
      <w:pgSz w:w="16838" w:h="11906" w:orient="landscape"/>
      <w:pgMar w:top="1361" w:right="1440" w:bottom="136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23825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B2556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60798"/>
    <w:rsid w:val="00FC6FBC"/>
    <w:rsid w:val="00FE0938"/>
    <w:rsid w:val="11791BB4"/>
    <w:rsid w:val="17884C96"/>
    <w:rsid w:val="18877988"/>
    <w:rsid w:val="18E2490C"/>
    <w:rsid w:val="1C4C487B"/>
    <w:rsid w:val="3CC76A66"/>
    <w:rsid w:val="781A7319"/>
    <w:rsid w:val="7DD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BCB5B-CCCD-4379-B61C-060E6FE95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795</Words>
  <Characters>4535</Characters>
  <Lines>37</Lines>
  <Paragraphs>10</Paragraphs>
  <TotalTime>1</TotalTime>
  <ScaleCrop>false</ScaleCrop>
  <LinksUpToDate>false</LinksUpToDate>
  <CharactersWithSpaces>5320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LGF</cp:lastModifiedBy>
  <cp:lastPrinted>2021-07-06T06:44:00Z</cp:lastPrinted>
  <dcterms:modified xsi:type="dcterms:W3CDTF">2021-07-13T02:19:46Z</dcterms:modified>
  <dc:title>韶关市/曲江区用户水龙头水质监测信息公开表（2019年第三季度）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6FD8136C069B4314A9D432E1B12D7F9D</vt:lpwstr>
  </property>
</Properties>
</file>