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sz w:val="44"/>
          <w:szCs w:val="44"/>
          <w:lang w:val="en-US"/>
        </w:rPr>
      </w:pPr>
      <w:r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  <w:t>2020年省级涉农专项转移支付资金使用情况报告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320" w:firstLineChars="100"/>
        <w:jc w:val="both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一、资金使用情况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（一）资金到位情况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0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项目资金到位情况分析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0"/>
          <w:szCs w:val="30"/>
        </w:rPr>
        <w:t>到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2020年12月31日</w:t>
      </w:r>
      <w:r>
        <w:rPr>
          <w:rFonts w:hint="eastAsia" w:ascii="仿宋_GB2312" w:hAnsi="仿宋_GB2312" w:eastAsia="仿宋_GB2312" w:cs="仿宋_GB2312"/>
          <w:sz w:val="30"/>
          <w:szCs w:val="30"/>
        </w:rPr>
        <w:t>止，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省级涉农专项转移支付</w:t>
      </w:r>
      <w:r>
        <w:rPr>
          <w:rFonts w:hint="eastAsia" w:ascii="仿宋_GB2312" w:hAnsi="仿宋_GB2312" w:eastAsia="仿宋_GB2312" w:cs="仿宋_GB2312"/>
          <w:sz w:val="30"/>
          <w:szCs w:val="30"/>
        </w:rPr>
        <w:t>资金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全部</w:t>
      </w:r>
      <w:r>
        <w:rPr>
          <w:rFonts w:hint="eastAsia" w:ascii="仿宋_GB2312" w:hAnsi="仿宋_GB2312" w:eastAsia="仿宋_GB2312" w:cs="仿宋_GB2312"/>
          <w:sz w:val="30"/>
          <w:szCs w:val="30"/>
        </w:rPr>
        <w:t>到位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228.1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万元，</w:t>
      </w:r>
      <w:r>
        <w:rPr>
          <w:rFonts w:hint="eastAsia" w:ascii="仿宋" w:hAnsi="仿宋" w:eastAsia="仿宋" w:cs="Times New Roman"/>
          <w:sz w:val="32"/>
          <w:szCs w:val="32"/>
        </w:rPr>
        <w:t>占应到位资金100%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（二）资金支付情况</w:t>
      </w: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1.支付完成京珠高速景观林带用地租金44.3万元；</w:t>
      </w: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2.支付汕昆、仁深高速景观林带作业设计费7.8万元；</w:t>
      </w: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3.支付红色乡村建设规划设计费8万元；</w:t>
      </w: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4.支付公路绿化、义务植被苗木款16万元；</w:t>
      </w: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5.支付森林督查和森林资金源管理“一张图”年度跟新工作方案专项资金42万元；</w:t>
      </w: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6.支付林地保护利用规划（2020-2030年）资金20万元；</w:t>
      </w: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7.支付近三年清理违法使用林地后续复绿工程款25万元；</w:t>
      </w:r>
    </w:p>
    <w:p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8支付林业发展“十四五”规划资金20万元；</w:t>
      </w:r>
    </w:p>
    <w:p>
      <w:pPr>
        <w:ind w:firstLine="600" w:firstLineChars="200"/>
        <w:rPr>
          <w:rFonts w:hint="default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9.支付森林防灭火工作经费45万元；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共完成资金支付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228.1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万元，</w:t>
      </w:r>
      <w:r>
        <w:rPr>
          <w:rFonts w:hint="eastAsia" w:ascii="仿宋" w:hAnsi="仿宋" w:eastAsia="仿宋" w:cs="Times New Roman"/>
          <w:sz w:val="32"/>
          <w:szCs w:val="32"/>
        </w:rPr>
        <w:t>占支付率100%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（三）财务合规性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Times New Roman"/>
          <w:sz w:val="32"/>
          <w:szCs w:val="32"/>
        </w:rPr>
        <w:t>经检查，项目资金使用管理到位、规范，严格按照合同和有关制度验收支付，专款专用，专账核算；执行财政报账制，采用集中支付的方式支付资金，支出凭证合法有效，不存在挪用或其他违规使用资金的现象。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实施程序</w:t>
      </w: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/>
        <w:ind w:leftChars="200" w:right="0" w:rightChars="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项目实施完成后向县财政局申请拨付资金。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（五）项目监管情况</w:t>
      </w:r>
    </w:p>
    <w:p>
      <w:pPr>
        <w:spacing w:line="360" w:lineRule="auto"/>
        <w:ind w:firstLine="447" w:firstLineChars="149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建立有效管理机制，且执行情况良好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业务主管部门能够按规定对项目建设或方案实施开展有效的检查、监控、督促整改。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二、资金产出及效益情况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（一）项目产出情况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（二）完成进度及质量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项目已全部完成，质量合格。</w:t>
      </w: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社会效益</w:t>
      </w:r>
    </w:p>
    <w:p>
      <w:pPr>
        <w:keepNext w:val="0"/>
        <w:keepLines w:val="0"/>
        <w:widowControl w:val="0"/>
        <w:numPr>
          <w:ilvl w:val="0"/>
          <w:numId w:val="3"/>
        </w:numPr>
        <w:suppressLineNumbers w:val="0"/>
        <w:spacing w:before="0" w:beforeAutospacing="0" w:after="0" w:afterAutospacing="0"/>
        <w:ind w:leftChars="200" w:right="0" w:rightChars="0"/>
        <w:jc w:val="both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降低林农经济损失成效显著；</w:t>
      </w:r>
    </w:p>
    <w:p>
      <w:pPr>
        <w:keepNext w:val="0"/>
        <w:keepLines w:val="0"/>
        <w:widowControl w:val="0"/>
        <w:numPr>
          <w:ilvl w:val="0"/>
          <w:numId w:val="3"/>
        </w:numPr>
        <w:suppressLineNumbers w:val="0"/>
        <w:spacing w:before="0" w:beforeAutospacing="0" w:after="0" w:afterAutospacing="0"/>
        <w:ind w:leftChars="200" w:right="0" w:rightChars="0"/>
        <w:jc w:val="both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提升群众的满意度和幸福感。</w:t>
      </w:r>
    </w:p>
    <w:p>
      <w:pPr>
        <w:keepNext w:val="0"/>
        <w:keepLines w:val="0"/>
        <w:widowControl w:val="0"/>
        <w:numPr>
          <w:ilvl w:val="0"/>
          <w:numId w:val="4"/>
        </w:numPr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主要问题及原因</w:t>
      </w:r>
    </w:p>
    <w:p>
      <w:pPr>
        <w:keepNext w:val="0"/>
        <w:keepLines w:val="0"/>
        <w:widowControl w:val="0"/>
        <w:numPr>
          <w:numId w:val="0"/>
        </w:numPr>
        <w:suppressLineNumbers w:val="0"/>
        <w:spacing w:before="0" w:beforeAutospacing="0" w:after="0" w:afterAutospacing="0"/>
        <w:ind w:leftChars="200" w:right="0" w:rightChars="0"/>
        <w:jc w:val="both"/>
        <w:rPr>
          <w:rFonts w:hint="eastAsia" w:ascii="黑体" w:hAnsi="宋体" w:eastAsia="仿宋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/>
          <w:sz w:val="32"/>
          <w:szCs w:val="32"/>
        </w:rPr>
        <w:t>经过我县精心组织和实施，项目工程能够如期按要求完成，取得了良好的效果</w:t>
      </w:r>
      <w:r>
        <w:rPr>
          <w:rFonts w:hint="eastAsia" w:ascii="仿宋" w:hAnsi="仿宋" w:eastAsia="仿宋"/>
          <w:sz w:val="32"/>
          <w:szCs w:val="32"/>
          <w:lang w:eastAsia="zh-CN"/>
        </w:rPr>
        <w:t>，未发现重大问题。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四、改进计划或建议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建议上级部门在制定方案和投资计划时</w:t>
      </w:r>
      <w:r>
        <w:rPr>
          <w:rFonts w:hint="eastAsia" w:ascii="仿宋" w:hAnsi="仿宋" w:eastAsia="仿宋"/>
          <w:sz w:val="32"/>
          <w:szCs w:val="32"/>
          <w:lang w:eastAsia="zh-CN"/>
        </w:rPr>
        <w:t>，要从实际出发，确保项目建设成效。</w:t>
      </w:r>
      <w:bookmarkStart w:id="0" w:name="_GoBack"/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7DE21"/>
    <w:multiLevelType w:val="singleLevel"/>
    <w:tmpl w:val="AC37DE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219B89B"/>
    <w:multiLevelType w:val="singleLevel"/>
    <w:tmpl w:val="E219B89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29F2B51"/>
    <w:multiLevelType w:val="singleLevel"/>
    <w:tmpl w:val="229F2B51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9366182"/>
    <w:multiLevelType w:val="singleLevel"/>
    <w:tmpl w:val="2936618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5406E"/>
    <w:rsid w:val="24AE6EB4"/>
    <w:rsid w:val="279D6B05"/>
    <w:rsid w:val="5CA1088D"/>
    <w:rsid w:val="6567772D"/>
    <w:rsid w:val="77B1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2021-03-16T00:58:20Z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B5E385C6087744128B0BC872E731EC11</vt:lpwstr>
  </property>
</Properties>
</file>