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 w:line="360" w:lineRule="exact"/>
        <w:rPr>
          <w:rFonts w:hint="eastAsia" w:ascii="Times New Roman" w:hAnsi="Times New Roman" w:eastAsia="黑体" w:cs="宋体"/>
          <w:bCs/>
          <w:color w:val="000000"/>
          <w:kern w:val="0"/>
          <w:sz w:val="32"/>
          <w:szCs w:val="32"/>
        </w:rPr>
      </w:pPr>
      <w:bookmarkStart w:id="0" w:name="fldWJNR2"/>
      <w:r>
        <w:rPr>
          <w:rFonts w:hint="eastAsia" w:ascii="Times New Roman" w:hAnsi="Times New Roman" w:eastAsia="黑体" w:cs="宋体"/>
          <w:bCs/>
          <w:color w:val="000000"/>
          <w:kern w:val="0"/>
          <w:sz w:val="32"/>
          <w:szCs w:val="32"/>
        </w:rPr>
        <w:t>附件1</w:t>
      </w:r>
    </w:p>
    <w:p>
      <w:pPr>
        <w:widowControl w:val="0"/>
        <w:wordWrap/>
        <w:adjustRightInd/>
        <w:snapToGrid/>
        <w:spacing w:line="594" w:lineRule="exact"/>
        <w:ind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594" w:lineRule="exact"/>
        <w:ind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企业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36"/>
          <w:szCs w:val="36"/>
        </w:rPr>
        <w:t>登记前置审批事项目录</w:t>
      </w:r>
    </w:p>
    <w:p>
      <w:pPr>
        <w:widowControl w:val="0"/>
        <w:wordWrap/>
        <w:adjustRightInd/>
        <w:snapToGrid/>
        <w:spacing w:line="594" w:lineRule="exact"/>
        <w:ind w:firstLine="0"/>
        <w:jc w:val="center"/>
        <w:textAlignment w:val="auto"/>
        <w:outlineLvl w:val="9"/>
        <w:rPr>
          <w:rFonts w:hint="eastAsia" w:ascii="楷体_GB2312" w:hAnsi="楷体_GB2312" w:eastAsia="楷体_GB2312" w:cs="楷体_GB2312"/>
          <w:bCs/>
          <w:color w:val="000000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2021年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6"/>
          <w:szCs w:val="36"/>
          <w:lang w:eastAsia="zh-CN"/>
        </w:rPr>
        <w:t>）</w:t>
      </w:r>
    </w:p>
    <w:p>
      <w:pPr>
        <w:widowControl w:val="0"/>
        <w:wordWrap/>
        <w:adjustRightInd/>
        <w:snapToGrid/>
        <w:spacing w:line="300" w:lineRule="exact"/>
        <w:ind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</w:rPr>
      </w:pPr>
    </w:p>
    <w:tbl>
      <w:tblPr>
        <w:tblStyle w:val="6"/>
        <w:tblW w:w="9712" w:type="dxa"/>
        <w:jc w:val="center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484"/>
        <w:gridCol w:w="3255"/>
        <w:gridCol w:w="1920"/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23" w:hRule="atLeast"/>
          <w:tblHeader/>
          <w:jc w:val="center"/>
        </w:trPr>
        <w:tc>
          <w:tcPr>
            <w:tcW w:w="484" w:type="dxa"/>
            <w:vAlign w:val="center"/>
          </w:tcPr>
          <w:p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55" w:type="dxa"/>
            <w:vAlign w:val="center"/>
          </w:tcPr>
          <w:p>
            <w:pPr>
              <w:pStyle w:val="7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20" w:type="dxa"/>
            <w:vAlign w:val="center"/>
          </w:tcPr>
          <w:p>
            <w:pPr>
              <w:pStyle w:val="7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实施</w:t>
            </w:r>
            <w:r>
              <w:rPr>
                <w:rFonts w:hint="eastAsia" w:eastAsia="黑体" w:cs="黑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4053" w:type="dxa"/>
            <w:vAlign w:val="center"/>
          </w:tcPr>
          <w:p>
            <w:pPr>
              <w:pStyle w:val="7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设定依据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" w:hRule="atLeast"/>
          <w:jc w:val="center"/>
        </w:trPr>
        <w:tc>
          <w:tcPr>
            <w:tcW w:w="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证券公司设立审批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中国证券监督管理委员会</w:t>
            </w:r>
          </w:p>
        </w:tc>
        <w:tc>
          <w:tcPr>
            <w:tcW w:w="40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《中华人民共和国证券法》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43" w:hRule="atLeast"/>
          <w:jc w:val="center"/>
        </w:trPr>
        <w:tc>
          <w:tcPr>
            <w:tcW w:w="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烟草专卖生产企业许可证核发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国家烟草专卖局</w:t>
            </w:r>
          </w:p>
        </w:tc>
        <w:tc>
          <w:tcPr>
            <w:tcW w:w="40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《中华人民共和国烟草专卖法》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《中华人民共和国烟草专卖法实施条例》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" w:hRule="atLeast"/>
          <w:jc w:val="center"/>
        </w:trPr>
        <w:tc>
          <w:tcPr>
            <w:tcW w:w="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烟草专卖批发企业许可证核发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国家烟草专卖局或省级烟草专卖行政主管部门</w:t>
            </w:r>
          </w:p>
        </w:tc>
        <w:tc>
          <w:tcPr>
            <w:tcW w:w="40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《中华人民共和国烟草专卖法》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《中华人民共和国烟草专卖法实施条例》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500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  <w:t>营利性民办学校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  <w:t>营利性民办培训机构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  <w:t>办学许可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县级以上人民政府教育行政部门、县级以上人民政府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人力资源社会保障部门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《中华人民共和国民办教育促进法》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77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金融控股公司设立审批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中国人民银行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《国务院关于实施金融控股公司准入管理的决定》（国发〔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12号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《金融控股公司监督管理试行办法》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民用爆炸物品生产许可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中华人民共和国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《民用爆炸物品安全管理条例》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爆破作业单位许可证核发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省级、设区的市级人民政府公安</w:t>
            </w: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《民用爆炸物品安全管理条例》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民用枪支（弹药）制造、配售许可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中华人民共和国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公安部、省级人民政府公安</w:t>
            </w: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《中华人民共和国枪支管理法》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480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制造、销售弩或营业性射击场开设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弩射项目审批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省级人民政府公安</w:t>
            </w: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《国务院对确需保留的行政审批项目设定行政许可的决定》（国务院令第412号）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《公安部国家工商行政管理局关于加强弩管理的通知》（公治〔1999〕1646号）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  <w:t>保安服务许可证核发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省级人民政府公安</w:t>
            </w: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  <w:bookmarkStart w:id="1" w:name="_GoBack"/>
            <w:bookmarkEnd w:id="1"/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《保安服务管理条例》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  <w:t>设立经营个人征信业务的征信机构审批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中国人民银行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《征信业管理条例》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70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卫星电视广播地面接收设施安装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许可审批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国家广播电视总局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《卫星电视广播地面接收设施管理规定》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《关于进一步加强卫星电视广播地面接收设施管理的意见》（广发外字〔2002〕254号）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设立出版物进口经营单位审批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国家新闻出版署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《出版管理条例》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设立出版单位审批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国家新闻出版署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《出版管理条例》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00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境外出版机构在境内设立办事机构审批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国家新闻出版署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国务院新闻办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《国务院对确需保留的行政审批项目设定行政许可的决定》（国务院令第412号）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《外国企业常驻代表机构登记管理条例》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55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境外电影机构在华设立办事机构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国家电影局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国务院新闻办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《国务院对确需保留的行政审批项目设定行政许可的决定》（国务院令第412号）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《外国企业常驻代表机构登记管理条例》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55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境外广播电视机构在华设立办事机构审批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国家广播电视总局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国务院新闻办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《国务院对确需保留的行政审批项目设定行政许可的决定》（国务院令第412号）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《外国企业常驻代表机构登记管理条例》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  <w:t>危险化学品经营许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县级、设区的市级人民政府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应急管理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《危险化学品安全管理条例》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  <w:t>新建、改建、扩建生产、储存危险化学品（包括使用长输管道输送危险化学品）建设项目安全条件审查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；新建、改建、扩建储存、装卸危险化学品的港口建设项目安全条件审查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设区的市级以上人民政府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应急管理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部门；港口行政管理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《危险化学品安全管理条例》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15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烟花爆竹生产企业安全生产许可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省级人民政府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应急管理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《烟花爆竹安全管理条例》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外资银行营业性机构及其分支机构设立审批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中国银行保险监督管理委员会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《中华人民共和国银行业监督管理法》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中华人民共和国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外资银行管理条例》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85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外国银行代表处设立审批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中国银行保险监督管理委员会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《中华人民共和国银行业监督管理法》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中华人民共和国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外资银行管理条例》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《外国企业常驻代表机构登记管理条例》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00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中资银行业金融机构及其分支机构设立审批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中国银行保险监督管理委员会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《中华人民共和国银行业监督管理法》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《中华人民共和国商业银行法》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15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非银行金融机构（分支机构）设立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中国银行保险监督管理委员会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《中华人民共和国银行业监督管理法》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《金融资产管理公司条例》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融资担保公司设立审批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省级人民政府确定的部门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《国务院对确需保留的行政审批项目设定行政许可的决定》（国务院令第412号）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《国务院关于修改〈国务院对确需保留的行政审批项目设定行政许可的决定〉的决定》（国务院令第548号）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《融资担保公司监督管理条例》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《融资性担保公司管理暂行办法》（银监会令2010年第3号）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63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外国证券类机构设立驻华代表机构核准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中国证券监督管理委员会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《国务院对确需保留的行政审批项目设定行政许可的决定》（国务院令第412号）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《外国企业常驻代表机构登记管理条例》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《证券公司监督管理条例》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《国务院关于管理外国企业常驻代表机构的暂行规定》（国发〔1980〕272号）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设立期货专门结算机构审批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中国证券监督管理委员会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《期货交易管理条例》（国务院令第627号）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设立期货交易场所审批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国务院或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中国证券监督管理委员会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《期货交易管理条例》（国务院令第627号）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证券交易所设立审核、证券登记结算机构设立审批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国务院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、中国证券监督管理委员会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《中华人民共和国证券法》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92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专属自保组织和相互保险组织设立审批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中国银行保险监督管理委员会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《国务院对确需保留的行政审批项目设定行政许可的决定》（国务院令第412号）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  <w:t>保险公司及其分支机构设立审批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中国银行保险监督管理委员会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《中华人民共和国保险法》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中华人民共和国外资保险公司管理条例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473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外国保险机构驻华代表机构设立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中国银行保险监督管理委员会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《中华人民共和国保险法》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《国务院对确需保留的行政审批项目设定行政许可的决定》（国务院令第412号）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《外国企业常驻代表机构登记管理条例》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30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  <w:t>快递业务经营许可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国家邮政局或省级邮政管理机构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《中华人民共和国邮政法》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30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  <w:t>经营劳务派遣业务许可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省、市、县级</w:t>
            </w: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人民政府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人力资源社会保障部门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582" w:firstLineChars="30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《中华人民共和国劳动合同法》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30" w:hRule="atLeast"/>
          <w:jc w:val="center"/>
        </w:trPr>
        <w:tc>
          <w:tcPr>
            <w:tcW w:w="4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kern w:val="0"/>
                <w:sz w:val="20"/>
                <w:szCs w:val="20"/>
                <w:u w:val="single" w:color="auto"/>
              </w:rPr>
              <w:t>使用“交易所”字样的交易场所审批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国务院或国务院金融管理部门、省级人民政府</w:t>
            </w:r>
          </w:p>
        </w:tc>
        <w:tc>
          <w:tcPr>
            <w:tcW w:w="40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《防范和处置非法集资条例》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《国务院关于清理整顿各类交易场所切实防范金融风险的决定》（国发〔2011〕38号）</w:t>
            </w:r>
          </w:p>
        </w:tc>
      </w:tr>
      <w:bookmarkEnd w:id="0"/>
    </w:tbl>
    <w:p>
      <w:pPr>
        <w:spacing w:line="14" w:lineRule="exact"/>
        <w:rPr>
          <w:rFonts w:hint="default" w:eastAsia="宋体"/>
          <w:sz w:val="21"/>
          <w:szCs w:val="24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984" w:right="1474" w:bottom="1644" w:left="1474" w:header="851" w:footer="1191" w:gutter="0"/>
      <w:pgNumType w:fmt="numberInDash"/>
      <w:cols w:space="72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page" w:hAnchor="page" w:x="9134" w:y="15280"/>
      <w:ind w:right="-29" w:rightChars="-14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  </w:t>
    </w:r>
  </w:p>
  <w:p>
    <w:pPr>
      <w:pStyle w:val="2"/>
      <w:spacing w:line="20" w:lineRule="exact"/>
      <w:ind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page" w:hAnchor="page" w:x="1832" w:y="15280"/>
      <w:ind w:left="210" w:leftChars="0" w:hanging="210" w:hangingChars="75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spacing w:line="20" w:lineRule="exact"/>
      <w:ind w:right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dit="forms" w:enforcement="0"/>
  <w:defaultTabStop w:val="420"/>
  <w:evenAndOddHeaders w:val="1"/>
  <w:drawingGridHorizontalSpacing w:val="102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C7F3B"/>
    <w:rsid w:val="00003A4D"/>
    <w:rsid w:val="00015C60"/>
    <w:rsid w:val="00044388"/>
    <w:rsid w:val="0005066C"/>
    <w:rsid w:val="00052B1C"/>
    <w:rsid w:val="0005386C"/>
    <w:rsid w:val="00096AF1"/>
    <w:rsid w:val="000B684E"/>
    <w:rsid w:val="000B6F15"/>
    <w:rsid w:val="000C108E"/>
    <w:rsid w:val="000C1717"/>
    <w:rsid w:val="000C3733"/>
    <w:rsid w:val="000C7C86"/>
    <w:rsid w:val="0010712D"/>
    <w:rsid w:val="00111CCF"/>
    <w:rsid w:val="001165DF"/>
    <w:rsid w:val="0013549C"/>
    <w:rsid w:val="0014015D"/>
    <w:rsid w:val="001535A7"/>
    <w:rsid w:val="001653FC"/>
    <w:rsid w:val="0019093B"/>
    <w:rsid w:val="001A0245"/>
    <w:rsid w:val="001B449F"/>
    <w:rsid w:val="001B5F7E"/>
    <w:rsid w:val="001B67EB"/>
    <w:rsid w:val="00200C32"/>
    <w:rsid w:val="00203867"/>
    <w:rsid w:val="00206602"/>
    <w:rsid w:val="002233F5"/>
    <w:rsid w:val="00230604"/>
    <w:rsid w:val="00234B0C"/>
    <w:rsid w:val="0023770C"/>
    <w:rsid w:val="00242417"/>
    <w:rsid w:val="00243E19"/>
    <w:rsid w:val="0026542E"/>
    <w:rsid w:val="00272889"/>
    <w:rsid w:val="00273C2E"/>
    <w:rsid w:val="002768EB"/>
    <w:rsid w:val="00284D81"/>
    <w:rsid w:val="002B7974"/>
    <w:rsid w:val="002E0E52"/>
    <w:rsid w:val="002E3C7C"/>
    <w:rsid w:val="002E7585"/>
    <w:rsid w:val="002F17F2"/>
    <w:rsid w:val="002F59D9"/>
    <w:rsid w:val="003004CB"/>
    <w:rsid w:val="00307C86"/>
    <w:rsid w:val="00311F75"/>
    <w:rsid w:val="003212F7"/>
    <w:rsid w:val="003367EA"/>
    <w:rsid w:val="003603AF"/>
    <w:rsid w:val="00361B8F"/>
    <w:rsid w:val="00382E59"/>
    <w:rsid w:val="00390116"/>
    <w:rsid w:val="003911B9"/>
    <w:rsid w:val="003A2DA7"/>
    <w:rsid w:val="003A6624"/>
    <w:rsid w:val="003A6CDC"/>
    <w:rsid w:val="003B274E"/>
    <w:rsid w:val="003B74FB"/>
    <w:rsid w:val="003C3CFD"/>
    <w:rsid w:val="003C55A0"/>
    <w:rsid w:val="003C682D"/>
    <w:rsid w:val="003E07C6"/>
    <w:rsid w:val="0040068F"/>
    <w:rsid w:val="0041126D"/>
    <w:rsid w:val="00450818"/>
    <w:rsid w:val="00464A77"/>
    <w:rsid w:val="004676E9"/>
    <w:rsid w:val="00470211"/>
    <w:rsid w:val="00486503"/>
    <w:rsid w:val="004B62D6"/>
    <w:rsid w:val="004C39B8"/>
    <w:rsid w:val="004C4F91"/>
    <w:rsid w:val="004D4C3D"/>
    <w:rsid w:val="004D5194"/>
    <w:rsid w:val="004D5B74"/>
    <w:rsid w:val="00511FE8"/>
    <w:rsid w:val="00537D75"/>
    <w:rsid w:val="00545623"/>
    <w:rsid w:val="00545C5B"/>
    <w:rsid w:val="00547FE6"/>
    <w:rsid w:val="0056010B"/>
    <w:rsid w:val="00572160"/>
    <w:rsid w:val="005751E3"/>
    <w:rsid w:val="005833DE"/>
    <w:rsid w:val="00593EB7"/>
    <w:rsid w:val="005A6FC8"/>
    <w:rsid w:val="005D0EE0"/>
    <w:rsid w:val="005D3DCC"/>
    <w:rsid w:val="005D555D"/>
    <w:rsid w:val="005E0AD9"/>
    <w:rsid w:val="005F2447"/>
    <w:rsid w:val="0062082B"/>
    <w:rsid w:val="00633319"/>
    <w:rsid w:val="00634466"/>
    <w:rsid w:val="0064131C"/>
    <w:rsid w:val="006554DD"/>
    <w:rsid w:val="006723F8"/>
    <w:rsid w:val="00682AD8"/>
    <w:rsid w:val="00691C5D"/>
    <w:rsid w:val="006A2B4C"/>
    <w:rsid w:val="006B5231"/>
    <w:rsid w:val="006C4A2D"/>
    <w:rsid w:val="006C7F3B"/>
    <w:rsid w:val="006F1CEE"/>
    <w:rsid w:val="007050E0"/>
    <w:rsid w:val="007157B6"/>
    <w:rsid w:val="00721181"/>
    <w:rsid w:val="00734C68"/>
    <w:rsid w:val="0077261D"/>
    <w:rsid w:val="00772B5A"/>
    <w:rsid w:val="007930D4"/>
    <w:rsid w:val="007A0E30"/>
    <w:rsid w:val="007A3AED"/>
    <w:rsid w:val="007A3C75"/>
    <w:rsid w:val="007E02F4"/>
    <w:rsid w:val="007F0694"/>
    <w:rsid w:val="007F0E60"/>
    <w:rsid w:val="00811E43"/>
    <w:rsid w:val="008155C0"/>
    <w:rsid w:val="008271E0"/>
    <w:rsid w:val="00833AD3"/>
    <w:rsid w:val="00847D0E"/>
    <w:rsid w:val="00857F35"/>
    <w:rsid w:val="008603FD"/>
    <w:rsid w:val="0088515C"/>
    <w:rsid w:val="00886904"/>
    <w:rsid w:val="00891223"/>
    <w:rsid w:val="008A04F8"/>
    <w:rsid w:val="008A3ED2"/>
    <w:rsid w:val="008A4B13"/>
    <w:rsid w:val="008B3D74"/>
    <w:rsid w:val="008C1505"/>
    <w:rsid w:val="008C3283"/>
    <w:rsid w:val="008D0E73"/>
    <w:rsid w:val="008D2DF0"/>
    <w:rsid w:val="008E1F73"/>
    <w:rsid w:val="008E424F"/>
    <w:rsid w:val="00925758"/>
    <w:rsid w:val="0092754F"/>
    <w:rsid w:val="009427B2"/>
    <w:rsid w:val="00946AC0"/>
    <w:rsid w:val="00952532"/>
    <w:rsid w:val="00973B75"/>
    <w:rsid w:val="00973F2B"/>
    <w:rsid w:val="009862E8"/>
    <w:rsid w:val="009C35E5"/>
    <w:rsid w:val="009E5CEC"/>
    <w:rsid w:val="009E659A"/>
    <w:rsid w:val="009F045D"/>
    <w:rsid w:val="009F7CF4"/>
    <w:rsid w:val="00A06596"/>
    <w:rsid w:val="00A135BD"/>
    <w:rsid w:val="00A301C0"/>
    <w:rsid w:val="00A3338C"/>
    <w:rsid w:val="00A44E06"/>
    <w:rsid w:val="00A54AB7"/>
    <w:rsid w:val="00A55315"/>
    <w:rsid w:val="00A65A4B"/>
    <w:rsid w:val="00A90D1B"/>
    <w:rsid w:val="00AA1E81"/>
    <w:rsid w:val="00AA4993"/>
    <w:rsid w:val="00AA68DA"/>
    <w:rsid w:val="00AA7D00"/>
    <w:rsid w:val="00AC3C00"/>
    <w:rsid w:val="00AD0E93"/>
    <w:rsid w:val="00AD542B"/>
    <w:rsid w:val="00AF4521"/>
    <w:rsid w:val="00AF4880"/>
    <w:rsid w:val="00AF50A4"/>
    <w:rsid w:val="00B500F1"/>
    <w:rsid w:val="00B53539"/>
    <w:rsid w:val="00B63660"/>
    <w:rsid w:val="00B716EF"/>
    <w:rsid w:val="00B72BB7"/>
    <w:rsid w:val="00B75B51"/>
    <w:rsid w:val="00B87CA7"/>
    <w:rsid w:val="00B9341B"/>
    <w:rsid w:val="00BA4E25"/>
    <w:rsid w:val="00BC3298"/>
    <w:rsid w:val="00BD1F27"/>
    <w:rsid w:val="00BD4062"/>
    <w:rsid w:val="00BE1BFB"/>
    <w:rsid w:val="00BE5C27"/>
    <w:rsid w:val="00BF1EF9"/>
    <w:rsid w:val="00BF2AEC"/>
    <w:rsid w:val="00C04FD8"/>
    <w:rsid w:val="00C147E3"/>
    <w:rsid w:val="00C24AEE"/>
    <w:rsid w:val="00C47B6E"/>
    <w:rsid w:val="00C54BF5"/>
    <w:rsid w:val="00C7571E"/>
    <w:rsid w:val="00C83848"/>
    <w:rsid w:val="00C9179B"/>
    <w:rsid w:val="00CA256F"/>
    <w:rsid w:val="00CD0A64"/>
    <w:rsid w:val="00CD0B20"/>
    <w:rsid w:val="00D20FF5"/>
    <w:rsid w:val="00D21574"/>
    <w:rsid w:val="00D33805"/>
    <w:rsid w:val="00D33DFB"/>
    <w:rsid w:val="00D4155F"/>
    <w:rsid w:val="00D533CE"/>
    <w:rsid w:val="00D5626B"/>
    <w:rsid w:val="00D60AFA"/>
    <w:rsid w:val="00D76DED"/>
    <w:rsid w:val="00D80741"/>
    <w:rsid w:val="00D90DD3"/>
    <w:rsid w:val="00D94500"/>
    <w:rsid w:val="00DA2233"/>
    <w:rsid w:val="00DC6F09"/>
    <w:rsid w:val="00DD22CA"/>
    <w:rsid w:val="00DD50D2"/>
    <w:rsid w:val="00DE73D7"/>
    <w:rsid w:val="00DF51DB"/>
    <w:rsid w:val="00E13A28"/>
    <w:rsid w:val="00E178C2"/>
    <w:rsid w:val="00E2087A"/>
    <w:rsid w:val="00E21872"/>
    <w:rsid w:val="00E50D53"/>
    <w:rsid w:val="00E57982"/>
    <w:rsid w:val="00E60AF6"/>
    <w:rsid w:val="00E638E6"/>
    <w:rsid w:val="00E70CFF"/>
    <w:rsid w:val="00E93FB6"/>
    <w:rsid w:val="00E97C50"/>
    <w:rsid w:val="00EA2A65"/>
    <w:rsid w:val="00EB46A9"/>
    <w:rsid w:val="00EB479E"/>
    <w:rsid w:val="00EB4966"/>
    <w:rsid w:val="00EE2846"/>
    <w:rsid w:val="00F01E65"/>
    <w:rsid w:val="00F0318D"/>
    <w:rsid w:val="00F2159A"/>
    <w:rsid w:val="00F31CB8"/>
    <w:rsid w:val="00F33AD3"/>
    <w:rsid w:val="00F43EB4"/>
    <w:rsid w:val="00F6029C"/>
    <w:rsid w:val="00F82544"/>
    <w:rsid w:val="00F907DC"/>
    <w:rsid w:val="00F917ED"/>
    <w:rsid w:val="00F92BEB"/>
    <w:rsid w:val="00F95B3C"/>
    <w:rsid w:val="00FA51A5"/>
    <w:rsid w:val="00FA63DC"/>
    <w:rsid w:val="00FB3144"/>
    <w:rsid w:val="00FC354C"/>
    <w:rsid w:val="00FD0A4D"/>
    <w:rsid w:val="00FD1CF0"/>
    <w:rsid w:val="00FF3598"/>
    <w:rsid w:val="094B2BE2"/>
    <w:rsid w:val="09F83162"/>
    <w:rsid w:val="100260D5"/>
    <w:rsid w:val="10BD49C8"/>
    <w:rsid w:val="152777B3"/>
    <w:rsid w:val="16B95A05"/>
    <w:rsid w:val="1F8E67C3"/>
    <w:rsid w:val="213A6C19"/>
    <w:rsid w:val="219C77F3"/>
    <w:rsid w:val="2469288B"/>
    <w:rsid w:val="248601A1"/>
    <w:rsid w:val="26522FBD"/>
    <w:rsid w:val="26E217C0"/>
    <w:rsid w:val="27E73397"/>
    <w:rsid w:val="286970FD"/>
    <w:rsid w:val="2D521777"/>
    <w:rsid w:val="2ED25E69"/>
    <w:rsid w:val="2EDE7EEF"/>
    <w:rsid w:val="37886D30"/>
    <w:rsid w:val="388E514A"/>
    <w:rsid w:val="3A1E0ECB"/>
    <w:rsid w:val="3ACA269F"/>
    <w:rsid w:val="3BCB31EA"/>
    <w:rsid w:val="3BEA08F2"/>
    <w:rsid w:val="40B40A12"/>
    <w:rsid w:val="42984E24"/>
    <w:rsid w:val="42DE1E41"/>
    <w:rsid w:val="44FA0CA1"/>
    <w:rsid w:val="4599376B"/>
    <w:rsid w:val="47020F0C"/>
    <w:rsid w:val="477A4BFE"/>
    <w:rsid w:val="481E0374"/>
    <w:rsid w:val="4CD72D9E"/>
    <w:rsid w:val="4E4974AB"/>
    <w:rsid w:val="4FB4126C"/>
    <w:rsid w:val="532C78EE"/>
    <w:rsid w:val="53E24437"/>
    <w:rsid w:val="570D11AE"/>
    <w:rsid w:val="57F90D46"/>
    <w:rsid w:val="5AA64F2A"/>
    <w:rsid w:val="5B050C25"/>
    <w:rsid w:val="5B910B4E"/>
    <w:rsid w:val="5C02545F"/>
    <w:rsid w:val="5C0F3234"/>
    <w:rsid w:val="5D913649"/>
    <w:rsid w:val="5EE15EEA"/>
    <w:rsid w:val="637549F8"/>
    <w:rsid w:val="6718714E"/>
    <w:rsid w:val="6910407F"/>
    <w:rsid w:val="6D8A27E1"/>
    <w:rsid w:val="701039AD"/>
    <w:rsid w:val="70DA7B98"/>
    <w:rsid w:val="738037F1"/>
    <w:rsid w:val="74FD44A3"/>
    <w:rsid w:val="77AE09AA"/>
    <w:rsid w:val="79C113D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  <w:style w:type="paragraph" w:customStyle="1" w:styleId="7">
    <w:name w:val="正文 New"/>
    <w:basedOn w:val="1"/>
    <w:qFormat/>
    <w:uiPriority w:val="0"/>
    <w:pPr>
      <w:spacing w:line="240" w:lineRule="atLeast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***</Company>
  <Pages>1</Pages>
  <Words>0</Words>
  <Characters>1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2008-08-26T06:59:00Z</dcterms:created>
  <dc:creator>苏丽</dc:creator>
  <cp:lastModifiedBy>Administrator</cp:lastModifiedBy>
  <dcterms:modified xsi:type="dcterms:W3CDTF">2021-05-11T01:38:47Z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