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3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52"/>
          <w:szCs w:val="52"/>
          <w:lang w:val="en-US" w:eastAsia="zh-CN"/>
        </w:rPr>
        <w:t>财政支出项目绩效自评报告</w:t>
      </w:r>
    </w:p>
    <w:p>
      <w:pPr>
        <w:widowControl/>
        <w:ind w:firstLine="2907" w:firstLineChars="905"/>
        <w:jc w:val="both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（2020年度）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default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项目名称：2020年高中公用经费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项目单位（公章）：翁源中学、龙仙中学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项目单位主管部门：翁源县教育局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填报人（签名）：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default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联系电话：0751-2863199</w:t>
      </w:r>
    </w:p>
    <w:p>
      <w:pPr>
        <w:widowControl/>
        <w:ind w:firstLine="642"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widowControl/>
        <w:ind w:firstLine="642"/>
        <w:jc w:val="left"/>
        <w:rPr>
          <w:rFonts w:hint="default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  <w:lang w:val="en-US" w:eastAsia="zh-CN"/>
        </w:rPr>
        <w:t>填报日期：   2021年 4月 16日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 w:themeColor="text1"/>
          <w:kern w:val="0"/>
          <w:sz w:val="32"/>
          <w:szCs w:val="32"/>
        </w:rPr>
      </w:pP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"_Toc521089182"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一、基本情况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"_Toc521089185"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二、绩效指标分析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"_Toc521089203"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三、综合评价结论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"_Toc521089204"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四、主要绩效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"_Toc521089208"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五、存在问题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pStyle w:val="6"/>
        <w:tabs>
          <w:tab w:val="right" w:leader="dot" w:pos="8948"/>
        </w:tabs>
        <w:ind w:firstLine="321" w:firstLineChars="100"/>
        <w:rPr>
          <w:rFonts w:hint="eastAsia" w:ascii="仿宋_GB2312" w:hAnsi="仿宋_GB2312" w:eastAsia="仿宋_GB2312" w:cs="仿宋_GB2312"/>
          <w:b w:val="0"/>
          <w:bCs w:val="0"/>
          <w:cap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\l "_Toc521089213"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六、相关建议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fldChar w:fldCharType="end"/>
      </w:r>
    </w:p>
    <w:p>
      <w:pPr>
        <w:spacing w:line="360" w:lineRule="auto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翁源县财政局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《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关于开展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2020年县级财政支出项目绩效自评工作的通知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》要求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翁源中学、龙仙中学</w:t>
      </w:r>
      <w:r>
        <w:rPr>
          <w:rFonts w:hint="eastAsia" w:ascii="宋体" w:hAnsi="宋体" w:eastAsia="宋体" w:cs="宋体"/>
          <w:sz w:val="28"/>
          <w:szCs w:val="28"/>
        </w:rPr>
        <w:t>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高中公用经费</w:t>
      </w:r>
      <w:r>
        <w:rPr>
          <w:rFonts w:hint="eastAsia" w:ascii="宋体" w:hAnsi="宋体" w:eastAsia="宋体" w:cs="宋体"/>
          <w:sz w:val="28"/>
          <w:szCs w:val="28"/>
        </w:rPr>
        <w:t>使用情况开展了绩效评价，现将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绩效</w:t>
      </w:r>
      <w:r>
        <w:rPr>
          <w:rFonts w:hint="eastAsia" w:ascii="宋体" w:hAnsi="宋体" w:eastAsia="宋体" w:cs="宋体"/>
          <w:sz w:val="28"/>
          <w:szCs w:val="28"/>
        </w:rPr>
        <w:t>评价情况报告如下：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一、基本情况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2020年，我县有普通高中2所：翁源中学在校生（在校生3068人），龙仙中学（在校生1534人）。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普通高中公用经费</w:t>
      </w:r>
      <w:r>
        <w:rPr>
          <w:rFonts w:hint="eastAsia" w:ascii="宋体" w:hAnsi="宋体" w:eastAsia="宋体" w:cs="宋体"/>
          <w:sz w:val="28"/>
          <w:szCs w:val="28"/>
        </w:rPr>
        <w:t>安排及落实情况：20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普通高中公用经费</w:t>
      </w:r>
      <w:r>
        <w:rPr>
          <w:rFonts w:hint="eastAsia" w:ascii="宋体" w:hAnsi="宋体" w:eastAsia="宋体" w:cs="宋体"/>
          <w:sz w:val="28"/>
          <w:szCs w:val="28"/>
        </w:rPr>
        <w:t>安排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230</w:t>
      </w:r>
      <w:r>
        <w:rPr>
          <w:rFonts w:hint="eastAsia" w:ascii="宋体" w:hAnsi="宋体" w:eastAsia="宋体" w:cs="宋体"/>
          <w:sz w:val="28"/>
          <w:szCs w:val="28"/>
        </w:rPr>
        <w:t>万元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用于日常公用支出，所有经费均用于学校办公费、培训费、水费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电费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邮电费、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办公设备购置费、</w:t>
      </w:r>
      <w:r>
        <w:rPr>
          <w:rFonts w:hint="eastAsia" w:ascii="宋体" w:hAnsi="宋体" w:eastAsia="宋体" w:cs="宋体"/>
          <w:sz w:val="28"/>
          <w:szCs w:val="28"/>
        </w:rPr>
        <w:t>图书仪器购置、学校日常维修及教学业务费等。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高中公用经费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 w:cs="宋体"/>
          <w:sz w:val="28"/>
          <w:szCs w:val="28"/>
        </w:rPr>
        <w:t>县财政局分别于20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下达指标到翁中、龙中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由各校</w:t>
      </w:r>
      <w:r>
        <w:rPr>
          <w:rFonts w:hint="eastAsia" w:ascii="宋体" w:hAnsi="宋体" w:eastAsia="宋体" w:cs="宋体"/>
          <w:sz w:val="28"/>
          <w:szCs w:val="28"/>
        </w:rPr>
        <w:t>采用授权或直接支付形式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支付</w:t>
      </w:r>
      <w:r>
        <w:rPr>
          <w:rFonts w:hint="eastAsia" w:ascii="宋体" w:hAnsi="宋体" w:eastAsia="宋体" w:cs="宋体"/>
          <w:sz w:val="28"/>
          <w:szCs w:val="28"/>
        </w:rPr>
        <w:t>，能够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按时</w:t>
      </w:r>
      <w:r>
        <w:rPr>
          <w:rFonts w:hint="eastAsia" w:ascii="宋体" w:hAnsi="宋体" w:eastAsia="宋体" w:cs="宋体"/>
          <w:sz w:val="28"/>
          <w:szCs w:val="28"/>
        </w:rPr>
        <w:t>足额拨付，无截留、挪用现象。</w:t>
      </w:r>
    </w:p>
    <w:p>
      <w:pPr>
        <w:spacing w:line="24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绩效指标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及实施程序。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绩效指标：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为确保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高中公用经费</w:t>
      </w:r>
      <w:r>
        <w:rPr>
          <w:rFonts w:hint="eastAsia" w:ascii="宋体" w:hAnsi="宋体" w:eastAsia="宋体" w:cs="宋体"/>
          <w:sz w:val="28"/>
          <w:szCs w:val="28"/>
        </w:rPr>
        <w:t>资金运行的规范性，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翁源县教育局</w:t>
      </w:r>
      <w:r>
        <w:rPr>
          <w:rFonts w:hint="eastAsia" w:ascii="宋体" w:hAnsi="宋体" w:eastAsia="宋体" w:cs="宋体"/>
          <w:sz w:val="28"/>
          <w:szCs w:val="28"/>
        </w:rPr>
        <w:t>在2010年8月成立了翁源县教育财务结算中心，专门负责我县各学校经费的支出审核与监管，在所有权、使用权、财务自主权、会计主体法律责任不变的前提下，实行“校财局管”的财务管理模式。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所有学校</w:t>
      </w:r>
      <w:r>
        <w:rPr>
          <w:rFonts w:hint="eastAsia" w:ascii="宋体" w:hAnsi="宋体" w:eastAsia="宋体" w:cs="宋体"/>
          <w:sz w:val="28"/>
          <w:szCs w:val="28"/>
        </w:rPr>
        <w:t>实行国库集中支付，确保专款专用，杜绝不合理的开支。运行模式执行至今，一直能够按照职责分工较好地履行职责。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翁中、龙中</w:t>
      </w:r>
      <w:r>
        <w:rPr>
          <w:rFonts w:hint="eastAsia" w:ascii="宋体" w:hAnsi="宋体" w:eastAsia="宋体" w:cs="宋体"/>
          <w:sz w:val="28"/>
          <w:szCs w:val="28"/>
        </w:rPr>
        <w:t>严格执行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粤财科教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[2019}216号文的精神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确保20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高中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公用经费安全、规范支出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，使其发挥最大的资金绩效。</w:t>
      </w: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实施程序：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每学年开学初，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由教育局结算中心</w:t>
      </w:r>
      <w:r>
        <w:rPr>
          <w:rFonts w:hint="eastAsia" w:ascii="宋体" w:hAnsi="宋体" w:eastAsia="宋体" w:cs="宋体"/>
          <w:sz w:val="28"/>
          <w:szCs w:val="28"/>
        </w:rPr>
        <w:t>牵头，组织全县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所具有独立核算资格和职能的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义务教育阶段</w:t>
      </w:r>
      <w:r>
        <w:rPr>
          <w:rFonts w:hint="eastAsia" w:ascii="宋体" w:hAnsi="宋体" w:eastAsia="宋体" w:cs="宋体"/>
          <w:sz w:val="28"/>
          <w:szCs w:val="28"/>
        </w:rPr>
        <w:t>中小学开展了预算编制工作，按照“二上二下”的编制流程，预算编制完成后，县教育局以文件的形式下达给各学校，并呈报县财政局。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翁源中学、龙仙中学高中公用经费</w:t>
      </w:r>
      <w:r>
        <w:rPr>
          <w:rFonts w:hint="eastAsia" w:ascii="宋体" w:hAnsi="宋体" w:eastAsia="宋体" w:cs="宋体"/>
          <w:sz w:val="28"/>
          <w:szCs w:val="28"/>
        </w:rPr>
        <w:t>支出流程规范，经费使用公开。公用经费按要求用于学校的业务费、公务费、设备购置费、修缮费等属于公用性质的费用开支，确保学校的正常运转，没有用于教职工工资、津贴、福利、社保、医保、代课教师工资、基建开支、偿还历史欠债或者上缴各级政府行政部门的违规支出现象；支出审批严格，报账及时，账目完整清晰，支出凭证合格。按上级相关部门的文件要求，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年上述资金已全部到位，我县各学校公用经费管理运行正常。</w:t>
      </w:r>
    </w:p>
    <w:p>
      <w:pPr>
        <w:spacing w:line="24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三、项目自评结论</w:t>
      </w:r>
    </w:p>
    <w:p>
      <w:pPr>
        <w:ind w:firstLine="560" w:firstLineChars="200"/>
        <w:rPr>
          <w:rFonts w:hint="eastAsia" w:ascii="宋体" w:hAnsi="宋体" w:eastAsia="宋体" w:cs="宋体"/>
          <w:color w:val="0F0F0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由于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高中公公用经费</w:t>
      </w:r>
      <w:r>
        <w:rPr>
          <w:rFonts w:hint="eastAsia" w:ascii="宋体" w:hAnsi="宋体" w:eastAsia="宋体" w:cs="宋体"/>
          <w:sz w:val="28"/>
          <w:szCs w:val="28"/>
        </w:rPr>
        <w:t>的及时到位，</w:t>
      </w:r>
      <w:r>
        <w:rPr>
          <w:rFonts w:hint="eastAsia" w:ascii="宋体" w:hAnsi="宋体" w:eastAsia="宋体" w:cs="宋体"/>
          <w:color w:val="0F0F0F"/>
          <w:sz w:val="28"/>
          <w:szCs w:val="28"/>
        </w:rPr>
        <w:t>资金</w:t>
      </w:r>
      <w:r>
        <w:rPr>
          <w:rFonts w:hint="eastAsia" w:ascii="宋体" w:hAnsi="宋体" w:eastAsia="宋体" w:cs="宋体"/>
          <w:color w:val="0F0F0F"/>
          <w:sz w:val="28"/>
          <w:szCs w:val="28"/>
          <w:lang w:eastAsia="zh-CN"/>
        </w:rPr>
        <w:t>支付</w:t>
      </w:r>
      <w:r>
        <w:rPr>
          <w:rFonts w:hint="eastAsia" w:ascii="宋体" w:hAnsi="宋体" w:eastAsia="宋体" w:cs="宋体"/>
          <w:color w:val="0F0F0F"/>
          <w:sz w:val="28"/>
          <w:szCs w:val="28"/>
        </w:rPr>
        <w:t>及</w:t>
      </w:r>
      <w:r>
        <w:rPr>
          <w:rFonts w:hint="eastAsia" w:ascii="宋体" w:hAnsi="宋体" w:eastAsia="宋体" w:cs="宋体"/>
          <w:color w:val="0F0F0F"/>
          <w:sz w:val="28"/>
          <w:szCs w:val="28"/>
          <w:lang w:eastAsia="zh-CN"/>
        </w:rPr>
        <w:t>时，</w:t>
      </w:r>
      <w:r>
        <w:rPr>
          <w:rFonts w:hint="eastAsia" w:ascii="宋体" w:hAnsi="宋体" w:eastAsia="宋体" w:cs="宋体"/>
          <w:color w:val="0F0F0F"/>
          <w:sz w:val="28"/>
          <w:szCs w:val="28"/>
        </w:rPr>
        <w:t>支出率达100%，支出规范、合理，实行国库直接支付</w:t>
      </w:r>
      <w:r>
        <w:rPr>
          <w:rFonts w:hint="eastAsia" w:ascii="宋体" w:hAnsi="宋体" w:eastAsia="宋体" w:cs="宋体"/>
          <w:color w:val="0F0F0F"/>
          <w:sz w:val="28"/>
          <w:szCs w:val="28"/>
          <w:lang w:eastAsia="zh-CN"/>
        </w:rPr>
        <w:t>或授权支付</w:t>
      </w:r>
      <w:r>
        <w:rPr>
          <w:rFonts w:hint="eastAsia" w:ascii="宋体" w:hAnsi="宋体" w:eastAsia="宋体" w:cs="宋体"/>
          <w:color w:val="0F0F0F"/>
          <w:sz w:val="28"/>
          <w:szCs w:val="28"/>
        </w:rPr>
        <w:t>，无虚列项目支出情况和截留、挤占、挪用项目资金情况。</w:t>
      </w:r>
    </w:p>
    <w:p>
      <w:pPr>
        <w:ind w:firstLine="560" w:firstLineChars="200"/>
        <w:rPr>
          <w:rFonts w:hint="eastAsia" w:ascii="宋体" w:hAnsi="宋体" w:eastAsia="宋体" w:cs="宋体"/>
          <w:color w:val="0F0F0F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高中公用经费</w:t>
      </w:r>
      <w:r>
        <w:rPr>
          <w:rFonts w:hint="eastAsia" w:ascii="宋体" w:hAnsi="宋体" w:eastAsia="宋体" w:cs="宋体"/>
          <w:sz w:val="28"/>
          <w:szCs w:val="28"/>
        </w:rPr>
        <w:t>资金的投入，学校的校园环境、师生的学习生活条件得到了很大的改善，师生教与学的硬件在不断提高，激发了师生教与学的兴趣，教学效果明显提高，使学校的教学质量不断攀升。我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F0F0F"/>
          <w:sz w:val="28"/>
          <w:szCs w:val="28"/>
        </w:rPr>
        <w:t>本次项目立项明确、计划合理、完成质量高、资金到位及时，我们对本项目的完成情况是较满意的，自评是良好的，自评得分为99分</w:t>
      </w:r>
      <w:r>
        <w:rPr>
          <w:rFonts w:hint="eastAsia" w:ascii="宋体" w:hAnsi="宋体" w:eastAsia="宋体" w:cs="宋体"/>
          <w:color w:val="0F0F0F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、绩效表现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（1）20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高中公用经费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2020年4月</w:t>
      </w:r>
      <w:r>
        <w:rPr>
          <w:rFonts w:hint="eastAsia" w:ascii="宋体" w:hAnsi="宋体" w:eastAsia="宋体" w:cs="宋体"/>
          <w:sz w:val="28"/>
          <w:szCs w:val="28"/>
        </w:rPr>
        <w:t>底到位。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（2）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翁中、</w:t>
      </w:r>
      <w:r>
        <w:rPr>
          <w:rFonts w:hint="eastAsia" w:ascii="宋体" w:hAnsi="宋体" w:eastAsia="宋体" w:cs="宋体"/>
          <w:sz w:val="28"/>
          <w:szCs w:val="28"/>
        </w:rPr>
        <w:t>全部实行国库集中支付。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）公用经费无挤占、截留、挪用问题，也未发现违规收费问题。</w:t>
      </w: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存在问题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从学校的运行情况看，公用经费切实得到了有效保障，并能合理使用，促进了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普通高中</w:t>
      </w:r>
      <w:r>
        <w:rPr>
          <w:rFonts w:hint="eastAsia" w:ascii="宋体" w:hAnsi="宋体" w:eastAsia="宋体" w:cs="宋体"/>
          <w:sz w:val="28"/>
          <w:szCs w:val="28"/>
        </w:rPr>
        <w:t>教育的发展，能维持运转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因</w:t>
      </w:r>
      <w:r>
        <w:rPr>
          <w:rFonts w:hint="eastAsia" w:ascii="宋体" w:hAnsi="宋体" w:eastAsia="宋体" w:cs="宋体"/>
          <w:sz w:val="28"/>
          <w:szCs w:val="28"/>
        </w:rPr>
        <w:t>学校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发展普通高投入较大，学校债务需时间解决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、改进意见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建议各级政府，拓宽资金筹集渠道，进一步加大投入力度，提高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</w:t>
      </w:r>
      <w:r>
        <w:rPr>
          <w:rFonts w:hint="eastAsia" w:ascii="宋体" w:hAnsi="宋体" w:eastAsia="宋体" w:cs="宋体"/>
          <w:sz w:val="28"/>
          <w:szCs w:val="28"/>
        </w:rPr>
        <w:t>公用经费补助标准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，进一步优化育人环境，使城乡高中教育能得到均衡的发展。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翁源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eastAsia="zh-CN"/>
        </w:rPr>
        <w:t>中学</w:t>
      </w:r>
    </w:p>
    <w:p>
      <w:pPr>
        <w:jc w:val="center"/>
        <w:rPr>
          <w:rFonts w:hint="default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 xml:space="preserve">                      龙仙中学</w:t>
      </w:r>
    </w:p>
    <w:p>
      <w:pPr>
        <w:jc w:val="center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 xml:space="preserve">                       2021年4月16日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Theme="minorEastAsia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eastAsiaTheme="minorEastAsia"/>
        <w:lang w:val="en-US" w:eastAsia="zh-CN"/>
      </w:rPr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E6CDB"/>
    <w:rsid w:val="00136F85"/>
    <w:rsid w:val="001A43B3"/>
    <w:rsid w:val="001B4D50"/>
    <w:rsid w:val="00216B64"/>
    <w:rsid w:val="003B25C7"/>
    <w:rsid w:val="004D7D1D"/>
    <w:rsid w:val="004E6CDB"/>
    <w:rsid w:val="00577C96"/>
    <w:rsid w:val="00965D43"/>
    <w:rsid w:val="00A35320"/>
    <w:rsid w:val="00B25FB9"/>
    <w:rsid w:val="00BA23BC"/>
    <w:rsid w:val="00C10399"/>
    <w:rsid w:val="0111681B"/>
    <w:rsid w:val="020675F6"/>
    <w:rsid w:val="02F9437B"/>
    <w:rsid w:val="055148C3"/>
    <w:rsid w:val="0EBD5219"/>
    <w:rsid w:val="0FD34F10"/>
    <w:rsid w:val="111C0E8E"/>
    <w:rsid w:val="11A40D5C"/>
    <w:rsid w:val="11EA7D57"/>
    <w:rsid w:val="1287126B"/>
    <w:rsid w:val="14604DB8"/>
    <w:rsid w:val="15617D27"/>
    <w:rsid w:val="15FC5735"/>
    <w:rsid w:val="162752B6"/>
    <w:rsid w:val="165C318D"/>
    <w:rsid w:val="17AB6D01"/>
    <w:rsid w:val="19E57674"/>
    <w:rsid w:val="1C3064D9"/>
    <w:rsid w:val="1D1B035E"/>
    <w:rsid w:val="1D32193C"/>
    <w:rsid w:val="1DF746C2"/>
    <w:rsid w:val="1E1471A6"/>
    <w:rsid w:val="1E7D3C7C"/>
    <w:rsid w:val="1EE514D5"/>
    <w:rsid w:val="22D42285"/>
    <w:rsid w:val="237036B4"/>
    <w:rsid w:val="27847CCB"/>
    <w:rsid w:val="2A482F0C"/>
    <w:rsid w:val="2B5346D4"/>
    <w:rsid w:val="2E954E23"/>
    <w:rsid w:val="2F0D0A7F"/>
    <w:rsid w:val="31980419"/>
    <w:rsid w:val="33782BB7"/>
    <w:rsid w:val="34A73C6C"/>
    <w:rsid w:val="35D85F44"/>
    <w:rsid w:val="35E94B46"/>
    <w:rsid w:val="36417F9D"/>
    <w:rsid w:val="385E4836"/>
    <w:rsid w:val="385F68FF"/>
    <w:rsid w:val="39064839"/>
    <w:rsid w:val="3C5F255B"/>
    <w:rsid w:val="3E0C1C8A"/>
    <w:rsid w:val="3E27703B"/>
    <w:rsid w:val="403A4AE4"/>
    <w:rsid w:val="408C547A"/>
    <w:rsid w:val="40E544E2"/>
    <w:rsid w:val="414822DD"/>
    <w:rsid w:val="42FF2B44"/>
    <w:rsid w:val="45A15CDE"/>
    <w:rsid w:val="4AC9267C"/>
    <w:rsid w:val="4B2838CF"/>
    <w:rsid w:val="4B366109"/>
    <w:rsid w:val="4C2614DD"/>
    <w:rsid w:val="4DCB4B8A"/>
    <w:rsid w:val="4E6873BD"/>
    <w:rsid w:val="4E746E5A"/>
    <w:rsid w:val="50505F55"/>
    <w:rsid w:val="51B02C18"/>
    <w:rsid w:val="52FE3F23"/>
    <w:rsid w:val="56531498"/>
    <w:rsid w:val="5CB94F41"/>
    <w:rsid w:val="601517E8"/>
    <w:rsid w:val="607416DA"/>
    <w:rsid w:val="62706E2C"/>
    <w:rsid w:val="63242BD5"/>
    <w:rsid w:val="67EA6969"/>
    <w:rsid w:val="681D5D4C"/>
    <w:rsid w:val="6A592CFD"/>
    <w:rsid w:val="71B358FF"/>
    <w:rsid w:val="72DE09E7"/>
    <w:rsid w:val="765553DB"/>
    <w:rsid w:val="77914B67"/>
    <w:rsid w:val="7999275E"/>
    <w:rsid w:val="7B4C4C65"/>
    <w:rsid w:val="7C685177"/>
    <w:rsid w:val="7CBB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ageBreakBefore/>
      <w:spacing w:before="300" w:beforeLines="300" w:beforeAutospacing="0" w:after="300" w:afterLines="300" w:afterAutospacing="0"/>
      <w:jc w:val="center"/>
      <w:outlineLvl w:val="0"/>
    </w:pPr>
    <w:rPr>
      <w:rFonts w:hint="eastAsia" w:cs="宋体"/>
      <w:b/>
      <w:kern w:val="44"/>
      <w:sz w:val="44"/>
      <w:szCs w:val="48"/>
      <w:lang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50" w:beforeLines="50" w:beforeAutospacing="0" w:after="50" w:afterLines="50" w:afterAutospacing="0" w:line="600" w:lineRule="exact"/>
      <w:outlineLvl w:val="1"/>
    </w:pPr>
    <w:rPr>
      <w:rFonts w:ascii="Times New Roman" w:hAnsi="Times New Roman" w:eastAsia="仿宋_GB2312" w:cs="Times New Roman"/>
      <w:b/>
      <w:sz w:val="36"/>
      <w:szCs w:val="2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  <w:pPr>
      <w:spacing w:before="120" w:after="120"/>
      <w:jc w:val="left"/>
    </w:pPr>
    <w:rPr>
      <w:rFonts w:ascii="Calibri" w:hAnsi="Calibri" w:eastAsia="宋体"/>
      <w:b/>
      <w:bCs/>
      <w: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1480</Words>
  <Characters>8437</Characters>
  <Lines>70</Lines>
  <Paragraphs>19</Paragraphs>
  <TotalTime>22</TotalTime>
  <ScaleCrop>false</ScaleCrop>
  <LinksUpToDate>false</LinksUpToDate>
  <CharactersWithSpaces>9898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2021-04-08T02:13:00Z</dcterms:created>
  <dc:creator>pc</dc:creator>
  <cp:lastModifiedBy>pc</cp:lastModifiedBy>
  <cp:lastPrinted>2021-04-15T02:03:00Z</cp:lastPrinted>
  <dcterms:modified xsi:type="dcterms:W3CDTF">2021-04-19T03:05:16Z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9BF0F25F59DD4255A74675B372A79C81</vt:lpwstr>
  </property>
</Properties>
</file>