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right"/>
        <w:rPr>
          <w:rFonts w:hint="eastAsia" w:ascii="Times New Roman" w:hAnsi="Times New Roman" w:eastAsia="仿宋_GB2312" w:cs="仿宋_GB2312"/>
          <w:bCs/>
          <w:color w:val="000000"/>
          <w:sz w:val="32"/>
          <w:szCs w:val="32"/>
          <w:lang w:eastAsia="zh-CN"/>
        </w:rPr>
      </w:pPr>
      <w:r>
        <w:rPr>
          <w:rFonts w:hint="eastAsia" w:ascii="Times New Roman" w:hAnsi="Times New Roman" w:eastAsia="仿宋_GB2312" w:cs="仿宋_GB2312"/>
          <w:bCs/>
          <w:color w:val="000000"/>
          <w:sz w:val="32"/>
          <w:szCs w:val="32"/>
          <w:lang w:eastAsia="zh-CN"/>
        </w:rPr>
        <w:t>翁市监处罚〔2021〕0102号</w:t>
      </w:r>
    </w:p>
    <w:p>
      <w:pPr>
        <w:widowControl/>
        <w:snapToGrid w:val="0"/>
        <w:spacing w:line="520" w:lineRule="exact"/>
        <w:ind w:right="55"/>
        <w:jc w:val="right"/>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jc w:val="both"/>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韶关市精心大药房有限公司翁源六里分店</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jc w:val="both"/>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jc w:val="both"/>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914402293512571317</w:t>
      </w:r>
      <w:r>
        <w:rPr>
          <w:rFonts w:hint="eastAsia" w:ascii="Times New Roman" w:hAnsi="Times New Roman" w:eastAsia="仿宋_GB2312" w:cs="Mongolian Baiti"/>
          <w:kern w:val="1"/>
          <w:sz w:val="32"/>
          <w:szCs w:val="32"/>
          <w:u w:val="single" w:color="auto"/>
        </w:rPr>
        <w:t xml:space="preserve">                                     </w:t>
      </w:r>
    </w:p>
    <w:p>
      <w:pPr>
        <w:spacing w:line="520" w:lineRule="exact"/>
        <w:jc w:val="both"/>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翁源县官渡镇六里街</w:t>
      </w:r>
      <w:r>
        <w:rPr>
          <w:rFonts w:hint="eastAsia" w:ascii="Times New Roman" w:hAnsi="Times New Roman" w:eastAsia="仿宋_GB2312" w:cs="Mongolian Baiti"/>
          <w:kern w:val="1"/>
          <w:sz w:val="32"/>
          <w:szCs w:val="32"/>
          <w:u w:val="single" w:color="auto"/>
        </w:rPr>
        <w:t xml:space="preserve">                                           </w:t>
      </w:r>
    </w:p>
    <w:p>
      <w:pPr>
        <w:spacing w:line="520" w:lineRule="exact"/>
        <w:jc w:val="both"/>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叶春葵</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rPr>
        <w:t xml:space="preserve">                </w:t>
      </w:r>
    </w:p>
    <w:p>
      <w:pPr>
        <w:pStyle w:val="2"/>
        <w:tabs>
          <w:tab w:val="left" w:pos="9060"/>
        </w:tabs>
        <w:spacing w:line="520" w:lineRule="exact"/>
        <w:ind w:firstLine="640" w:firstLineChars="200"/>
        <w:jc w:val="both"/>
        <w:rPr>
          <w:rFonts w:hint="eastAsia" w:ascii="仿宋_GB2312" w:hAnsi="仿宋_GB2312" w:eastAsia="仿宋_GB2312" w:cs="仿宋_GB2312"/>
          <w:kern w:val="1"/>
          <w:sz w:val="32"/>
          <w:szCs w:val="32"/>
        </w:rPr>
      </w:pPr>
      <w:r>
        <w:rPr>
          <w:rFonts w:hint="eastAsia" w:ascii="仿宋" w:hAnsi="仿宋" w:eastAsia="仿宋" w:cs="仿宋"/>
          <w:sz w:val="32"/>
          <w:szCs w:val="32"/>
        </w:rPr>
        <w:t>2021年10月9日，我局执法人员对位于翁源县官渡镇六里街的韶关市精心大药房有限公司翁源六里分店进行检查。现场检查时，该店已取得《营业执照》（统一社会信用代码：914402293512571317），《药品经营许可证》（编号：粤CB7516022、有效期至2025年12月07日）。该店现场提供了枸橼酸西地那非片（规格：50mg*3，批号：20210306）的销售小票，小票记录交易时间：2021-10-09，数量2，以及该店现场打开零售业务开票查询页面，该页面显示枸橼酸西地那非片（规格：50mg*3，生产厂家：吉林金恒制药股份有限公司），页面显示日期：2021-10-09。该店现场提供上述药品的购进单据，单据名称为韶关市精心大药房有限公司调拨配送单（NO：WCKjxdyf00122431），单据记录购进枸橼酸西地那非片（生产企业：吉林金恒制药股份有限公司，批号：20210306）购进数量为2盒。该店现场未提供上述处方药。枸橼酸西地那非片（批号：20210306）的处方以及在《药品零售企业处方药销售登记表》无上述处方药的处方登记信息。</w:t>
      </w:r>
      <w:r>
        <w:rPr>
          <w:rFonts w:hint="eastAsia" w:ascii="仿宋_GB2312" w:hAnsi="仿宋_GB2312" w:eastAsia="仿宋_GB2312" w:cs="仿宋_GB2312"/>
          <w:kern w:val="1"/>
          <w:sz w:val="32"/>
          <w:szCs w:val="32"/>
        </w:rPr>
        <w:t>现场检查时，该店营业员黄丽萍在场。</w:t>
      </w:r>
    </w:p>
    <w:p>
      <w:pPr>
        <w:pStyle w:val="2"/>
        <w:tabs>
          <w:tab w:val="left" w:pos="9060"/>
        </w:tabs>
        <w:spacing w:line="520" w:lineRule="exact"/>
        <w:jc w:val="both"/>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kern w:val="1"/>
          <w:sz w:val="32"/>
          <w:szCs w:val="32"/>
        </w:rPr>
        <w:t>韶关市精心大药房有限公司翁源六里分店在2021年8月24日从韶关市精心大药房有限公司购进的2盒枸橼酸西地那非片（生产企业：吉林金恒制药股份有限公司，批号：20210306），已销售2盒，销售价格是</w:t>
      </w:r>
      <w:r>
        <w:rPr>
          <w:rFonts w:hint="eastAsia" w:ascii="仿宋_GB2312" w:hAnsi="仿宋" w:eastAsia="仿宋_GB2312" w:cs="仿宋"/>
          <w:color w:val="000000"/>
          <w:sz w:val="32"/>
          <w:szCs w:val="32"/>
          <w:lang w:val="en-US" w:eastAsia="zh-CN"/>
        </w:rPr>
        <w:t>*</w:t>
      </w:r>
      <w:r>
        <w:rPr>
          <w:rFonts w:hint="eastAsia" w:ascii="仿宋_GB2312" w:hAnsi="仿宋_GB2312" w:eastAsia="仿宋_GB2312" w:cs="仿宋_GB2312"/>
          <w:kern w:val="1"/>
          <w:sz w:val="32"/>
          <w:szCs w:val="32"/>
        </w:rPr>
        <w:t>元/盒，涉案货值为</w:t>
      </w:r>
      <w:r>
        <w:rPr>
          <w:rFonts w:hint="eastAsia" w:ascii="仿宋_GB2312" w:hAnsi="仿宋" w:eastAsia="仿宋_GB2312" w:cs="仿宋"/>
          <w:color w:val="000000"/>
          <w:sz w:val="32"/>
          <w:szCs w:val="32"/>
          <w:lang w:val="en-US" w:eastAsia="zh-CN"/>
        </w:rPr>
        <w:t>*</w:t>
      </w:r>
      <w:r>
        <w:rPr>
          <w:rFonts w:hint="eastAsia" w:ascii="仿宋_GB2312" w:hAnsi="仿宋_GB2312" w:eastAsia="仿宋_GB2312" w:cs="仿宋_GB2312"/>
          <w:kern w:val="1"/>
          <w:sz w:val="32"/>
          <w:szCs w:val="32"/>
        </w:rPr>
        <w:t>元；韶关市精心大药房有限公司翁源六里分店现场未提供其销售上述药品的处方以及未提供上述药品的销售记录。</w:t>
      </w:r>
      <w:r>
        <w:rPr>
          <w:rFonts w:hint="eastAsia" w:ascii="仿宋_GB2312" w:hAnsi="仿宋_GB2312" w:eastAsia="仿宋_GB2312" w:cs="仿宋_GB2312"/>
          <w:b w:val="0"/>
          <w:bCs/>
          <w:color w:val="000000"/>
        </w:rPr>
        <w:t xml:space="preserve">   </w:t>
      </w:r>
    </w:p>
    <w:p>
      <w:pPr>
        <w:pStyle w:val="2"/>
        <w:tabs>
          <w:tab w:val="left" w:pos="9060"/>
        </w:tabs>
        <w:spacing w:line="520" w:lineRule="exact"/>
        <w:jc w:val="both"/>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1.资质证明及负责人身份证复印件，证明</w:t>
      </w:r>
      <w:r>
        <w:rPr>
          <w:rFonts w:hint="eastAsia" w:ascii="仿宋_GB2312" w:hAnsi="仿宋_GB2312" w:eastAsia="仿宋_GB2312" w:cs="仿宋_GB2312"/>
          <w:kern w:val="1"/>
          <w:sz w:val="32"/>
          <w:szCs w:val="32"/>
        </w:rPr>
        <w:t>韶关市精心大药房有限公司翁源六里分店</w:t>
      </w:r>
      <w:r>
        <w:rPr>
          <w:rFonts w:hint="eastAsia" w:ascii="仿宋_GB2312" w:hAnsi="仿宋_GB2312" w:eastAsia="仿宋_GB2312" w:cs="仿宋_GB2312"/>
          <w:color w:val="000000"/>
        </w:rPr>
        <w:t>已取得相关资质。</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2、询问笔录，证明</w:t>
      </w:r>
      <w:r>
        <w:rPr>
          <w:rFonts w:hint="eastAsia" w:ascii="仿宋_GB2312" w:hAnsi="仿宋_GB2312" w:eastAsia="仿宋_GB2312" w:cs="仿宋_GB2312"/>
          <w:kern w:val="1"/>
          <w:sz w:val="32"/>
          <w:szCs w:val="32"/>
        </w:rPr>
        <w:t>韶关市精心大药房有限公司翁源六里分店</w:t>
      </w:r>
      <w:r>
        <w:rPr>
          <w:rFonts w:hint="eastAsia" w:ascii="仿宋_GB2312" w:hAnsi="仿宋_GB2312" w:eastAsia="仿宋_GB2312" w:cs="仿宋_GB2312"/>
          <w:color w:val="000000"/>
        </w:rPr>
        <w:t>销售枸橼酸西地那非片（批号：20210306）未凭处方销售。</w:t>
      </w:r>
    </w:p>
    <w:p>
      <w:pPr>
        <w:pStyle w:val="2"/>
        <w:tabs>
          <w:tab w:val="left" w:pos="9060"/>
        </w:tabs>
        <w:spacing w:line="520" w:lineRule="exact"/>
        <w:ind w:firstLine="64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kern w:val="1"/>
          <w:sz w:val="32"/>
          <w:szCs w:val="32"/>
        </w:rPr>
        <w:t>韶关市精心大药房有限公司调拨配送单（NO：WCKjxdyf00122431）</w:t>
      </w:r>
      <w:r>
        <w:rPr>
          <w:rFonts w:hint="eastAsia" w:ascii="仿宋_GB2312" w:hAnsi="仿宋_GB2312" w:eastAsia="仿宋_GB2312" w:cs="仿宋_GB2312"/>
          <w:color w:val="000000"/>
        </w:rPr>
        <w:t>，证明</w:t>
      </w:r>
      <w:r>
        <w:rPr>
          <w:rFonts w:hint="eastAsia" w:ascii="仿宋_GB2312" w:hAnsi="仿宋_GB2312" w:eastAsia="仿宋_GB2312" w:cs="仿宋_GB2312"/>
          <w:kern w:val="1"/>
          <w:sz w:val="32"/>
          <w:szCs w:val="32"/>
        </w:rPr>
        <w:t>韶关市精心大药房有限公司翁源六里分店</w:t>
      </w:r>
      <w:r>
        <w:rPr>
          <w:rFonts w:hint="eastAsia" w:ascii="仿宋_GB2312" w:hAnsi="仿宋_GB2312" w:eastAsia="仿宋_GB2312" w:cs="仿宋_GB2312"/>
          <w:color w:val="000000"/>
        </w:rPr>
        <w:t>销售枸橼酸西地那非片（批号：20210306）是从合法渠道购进的。</w:t>
      </w:r>
    </w:p>
    <w:p>
      <w:pPr>
        <w:pStyle w:val="2"/>
        <w:tabs>
          <w:tab w:val="left" w:pos="9060"/>
        </w:tabs>
        <w:spacing w:line="520" w:lineRule="exact"/>
        <w:ind w:firstLine="640" w:firstLineChars="200"/>
        <w:jc w:val="both"/>
        <w:rPr>
          <w:rFonts w:hint="eastAsia" w:ascii="Times New Roman" w:eastAsia="仿宋_GB2312" w:cs="仿宋_GB2312"/>
          <w:color w:val="000000"/>
          <w:u w:val="single"/>
        </w:rPr>
      </w:pPr>
      <w:r>
        <w:rPr>
          <w:rFonts w:hint="eastAsia" w:ascii="仿宋" w:hAnsi="仿宋" w:eastAsia="仿宋" w:cs="仿宋"/>
          <w:sz w:val="32"/>
          <w:szCs w:val="32"/>
        </w:rPr>
        <w:t>本案调查</w:t>
      </w:r>
      <w:r>
        <w:rPr>
          <w:rFonts w:hint="eastAsia" w:ascii="Times New Roman" w:hAnsi="Times New Roman" w:eastAsia="仿宋_GB2312" w:cs="仿宋_GB2312"/>
          <w:color w:val="000000"/>
          <w:kern w:val="0"/>
          <w:sz w:val="32"/>
          <w:szCs w:val="32"/>
          <w:u w:val="none" w:color="auto"/>
          <w:lang w:val="en-US" w:eastAsia="zh-CN" w:bidi="ar-SA"/>
        </w:rPr>
        <w:t>终结</w:t>
      </w:r>
      <w:r>
        <w:rPr>
          <w:rFonts w:hint="eastAsia" w:ascii="仿宋" w:hAnsi="仿宋" w:eastAsia="仿宋" w:cs="仿宋"/>
          <w:sz w:val="32"/>
          <w:szCs w:val="32"/>
        </w:rPr>
        <w:t>后，我局于</w:t>
      </w: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sz w:val="32"/>
          <w:szCs w:val="32"/>
        </w:rPr>
        <w:t>，依法向当事人发出《翁源县市场监督管理局行政处罚告知书》（翁市监罚告〔2021〕00</w:t>
      </w:r>
      <w:r>
        <w:rPr>
          <w:rFonts w:hint="eastAsia" w:ascii="仿宋" w:hAnsi="仿宋" w:eastAsia="仿宋" w:cs="仿宋"/>
          <w:sz w:val="32"/>
          <w:szCs w:val="32"/>
          <w:lang w:val="en-US" w:eastAsia="zh-CN"/>
        </w:rPr>
        <w:t>97</w:t>
      </w:r>
      <w:r>
        <w:rPr>
          <w:rFonts w:hint="eastAsia" w:ascii="仿宋" w:hAnsi="仿宋" w:eastAsia="仿宋" w:cs="仿宋"/>
          <w:sz w:val="32"/>
          <w:szCs w:val="32"/>
        </w:rPr>
        <w:t>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 w:hAnsi="仿宋" w:eastAsia="仿宋" w:cs="仿宋"/>
          <w:sz w:val="32"/>
          <w:szCs w:val="32"/>
          <w:lang w:eastAsia="zh-CN"/>
        </w:rPr>
        <w:t>。</w:t>
      </w:r>
    </w:p>
    <w:p>
      <w:pPr>
        <w:pStyle w:val="2"/>
        <w:tabs>
          <w:tab w:val="left" w:pos="8405"/>
        </w:tabs>
        <w:spacing w:line="520" w:lineRule="exact"/>
        <w:ind w:firstLine="627" w:firstLineChars="196"/>
        <w:jc w:val="both"/>
        <w:rPr>
          <w:rFonts w:hint="eastAsia" w:ascii="仿宋_GB2312" w:eastAsia="仿宋_GB2312" w:cs="Mongolian Baiti"/>
          <w:kern w:val="1"/>
        </w:rPr>
      </w:pPr>
      <w:r>
        <w:rPr>
          <w:rFonts w:hint="eastAsia" w:ascii="仿宋_GB2312" w:eastAsia="仿宋_GB2312" w:cs="Mongolian Baiti"/>
          <w:kern w:val="1"/>
        </w:rPr>
        <w:t>本局认为，韶关市精心大药房有限公司翁源六里分店未凭处方销售枸橼酸西地那非片（批号：20210306）和销售药品未按规定进行记录的行为，违反了《药品流通监督管理办法》第十八条“药品零售企业应当按照国家食品药品监督管理局药品分类管理规定的要求，凭处方销售处方药。经营处方药和甲类非处方药的药品零售企业，执业药师或者其他依法经资格认定的药学技术人员不在岗时，应当挂牌告知，并停止销售处方药和甲类非处方药。”和《中华人民共和国药品管理法》第五十七条“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的规定。</w:t>
      </w:r>
    </w:p>
    <w:p>
      <w:pPr>
        <w:pStyle w:val="2"/>
        <w:tabs>
          <w:tab w:val="left" w:pos="8405"/>
        </w:tabs>
        <w:spacing w:line="520" w:lineRule="exact"/>
        <w:ind w:firstLine="627" w:firstLineChars="196"/>
        <w:jc w:val="both"/>
        <w:rPr>
          <w:rFonts w:hint="eastAsia" w:ascii="仿宋_GB2312" w:eastAsia="仿宋_GB2312" w:cs="Mongolian Baiti"/>
          <w:kern w:val="1"/>
        </w:rPr>
      </w:pPr>
      <w:r>
        <w:rPr>
          <w:rFonts w:hint="eastAsia" w:ascii="仿宋_GB2312" w:eastAsia="仿宋_GB2312" w:cs="Mongolian Baiti"/>
          <w:kern w:val="1"/>
        </w:rPr>
        <w:t xml:space="preserve">当事人积极配合案件调查工作，经营数量少，违法行为轻微，社会危害性小，且经营的枸橼酸西地那非片（批号：20210306）是从合法渠道购进，能够提供相应的购进单据，依据《广东省药品监督管理局规范行政处罚自由裁量权适用规则》第九条的规定，对当事人从轻处罚。                                                                                                                              </w:t>
      </w:r>
    </w:p>
    <w:p>
      <w:pPr>
        <w:pStyle w:val="2"/>
        <w:tabs>
          <w:tab w:val="left" w:pos="9060"/>
        </w:tabs>
        <w:spacing w:line="520" w:lineRule="exact"/>
        <w:ind w:firstLine="640" w:firstLineChars="200"/>
        <w:jc w:val="both"/>
        <w:rPr>
          <w:rFonts w:hint="eastAsia" w:ascii="仿宋" w:hAnsi="仿宋" w:eastAsia="仿宋" w:cs="仿宋"/>
          <w:sz w:val="32"/>
          <w:szCs w:val="32"/>
        </w:rPr>
      </w:pPr>
      <w:r>
        <w:rPr>
          <w:rFonts w:hint="eastAsia" w:ascii="Times New Roman" w:hAnsi="Times New Roman" w:eastAsia="仿宋_GB2312" w:cs="Mongolian Baiti"/>
          <w:kern w:val="1"/>
          <w:sz w:val="32"/>
          <w:szCs w:val="32"/>
        </w:rPr>
        <w:t>综上，</w:t>
      </w:r>
      <w:r>
        <w:rPr>
          <w:rFonts w:hint="eastAsia" w:ascii="仿宋" w:hAnsi="仿宋" w:eastAsia="仿宋" w:cs="仿宋"/>
          <w:color w:val="000000"/>
          <w:sz w:val="32"/>
          <w:szCs w:val="32"/>
        </w:rPr>
        <w:t>当事人</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上述</w:t>
      </w:r>
      <w:r>
        <w:rPr>
          <w:rFonts w:hint="eastAsia" w:ascii="仿宋" w:hAnsi="仿宋" w:eastAsia="仿宋" w:cs="仿宋"/>
          <w:color w:val="000000"/>
          <w:sz w:val="32"/>
          <w:szCs w:val="32"/>
          <w:lang w:eastAsia="zh-CN"/>
        </w:rPr>
        <w:t>违法</w:t>
      </w:r>
      <w:r>
        <w:rPr>
          <w:rFonts w:hint="eastAsia" w:ascii="仿宋" w:hAnsi="仿宋" w:eastAsia="仿宋" w:cs="仿宋"/>
          <w:color w:val="000000"/>
          <w:sz w:val="32"/>
          <w:szCs w:val="32"/>
        </w:rPr>
        <w:t>行为违反了</w:t>
      </w:r>
      <w:r>
        <w:rPr>
          <w:rFonts w:hint="eastAsia" w:ascii="仿宋_GB2312" w:eastAsia="仿宋_GB2312" w:cs="Mongolian Baiti"/>
          <w:kern w:val="1"/>
        </w:rPr>
        <w:t>《药品流通监督管理</w:t>
      </w:r>
      <w:r>
        <w:rPr>
          <w:rFonts w:hint="eastAsia" w:ascii="仿宋_GB2312" w:eastAsia="仿宋_GB2312" w:cs="Mongolian Baiti"/>
          <w:kern w:val="1"/>
          <w:lang w:eastAsia="zh-CN"/>
        </w:rPr>
        <w:t>办</w:t>
      </w:r>
      <w:r>
        <w:rPr>
          <w:rFonts w:hint="eastAsia" w:ascii="仿宋_GB2312" w:eastAsia="仿宋_GB2312" w:cs="Mongolian Baiti"/>
          <w:kern w:val="1"/>
        </w:rPr>
        <w:t>法》第十八条</w:t>
      </w:r>
      <w:r>
        <w:rPr>
          <w:rFonts w:hint="eastAsia" w:ascii="仿宋_GB2312" w:eastAsia="仿宋_GB2312" w:cs="Mongolian Baiti"/>
          <w:kern w:val="1"/>
          <w:lang w:eastAsia="zh-CN"/>
        </w:rPr>
        <w:t>的规定，</w:t>
      </w:r>
      <w:r>
        <w:rPr>
          <w:rFonts w:hint="eastAsia" w:ascii="Times New Roman" w:hAnsi="Times New Roman" w:eastAsia="仿宋_GB2312" w:cs="Mongolian Baiti"/>
          <w:kern w:val="1"/>
          <w:sz w:val="32"/>
          <w:szCs w:val="32"/>
        </w:rPr>
        <w:t>根据《药品流通监督管理办法》第三十八条“药品零售企业违反本办法第十八条第一款规定的，责令限期改正，给予警告;逾期不改正或者情节严重的，处以1000</w:t>
      </w:r>
      <w:bookmarkStart w:id="3" w:name="_GoBack"/>
      <w:r>
        <w:rPr>
          <w:rFonts w:hint="eastAsia" w:ascii="Times New Roman" w:hAnsi="Times New Roman" w:eastAsia="仿宋_GB2312" w:cs="Mongolian Baiti"/>
          <w:kern w:val="1"/>
          <w:sz w:val="32"/>
          <w:szCs w:val="32"/>
        </w:rPr>
        <w:t>元</w:t>
      </w:r>
      <w:bookmarkEnd w:id="3"/>
      <w:r>
        <w:rPr>
          <w:rFonts w:hint="eastAsia" w:ascii="Times New Roman" w:hAnsi="Times New Roman" w:eastAsia="仿宋_GB2312" w:cs="Mongolian Baiti"/>
          <w:kern w:val="1"/>
          <w:sz w:val="32"/>
          <w:szCs w:val="32"/>
        </w:rPr>
        <w:t>以下的罚款。”</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的规定，</w:t>
      </w:r>
      <w:r>
        <w:rPr>
          <w:rFonts w:hint="eastAsia" w:ascii="仿宋" w:hAnsi="仿宋" w:eastAsia="仿宋" w:cs="仿宋"/>
          <w:sz w:val="32"/>
          <w:szCs w:val="32"/>
        </w:rPr>
        <w:t xml:space="preserve">本局决定对你（单位）给予以下行政处罚：警告。  </w:t>
      </w:r>
    </w:p>
    <w:p>
      <w:pPr>
        <w:spacing w:before="156" w:beforeLines="50" w:after="156" w:afterLines="50" w:line="500" w:lineRule="exact"/>
        <w:ind w:firstLine="640" w:firstLineChars="200"/>
        <w:jc w:val="both"/>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firstLine="601"/>
        <w:jc w:val="both"/>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right"/>
        <w:rPr>
          <w:rFonts w:hint="eastAsia" w:ascii="Times New Roman" w:hAnsi="Times New Roman" w:eastAsia="仿宋_GB2312" w:cs="Mongolian Baiti"/>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25</w:t>
      </w:r>
      <w:r>
        <w:rPr>
          <w:rFonts w:hint="eastAsia" w:ascii="仿宋_GB2312" w:hAnsi="Times New Roman" w:eastAsia="仿宋_GB2312" w:cs="仿宋"/>
          <w:color w:val="000000"/>
          <w:sz w:val="32"/>
          <w:szCs w:val="32"/>
        </w:rPr>
        <w:t xml:space="preserve">日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p>
    <w:p>
      <w:pPr>
        <w:pStyle w:val="2"/>
        <w:spacing w:before="1"/>
        <w:ind w:left="163" w:firstLine="288" w:firstLineChars="100"/>
        <w:jc w:val="both"/>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ind w:firstLine="1280" w:firstLineChars="400"/>
        <w:jc w:val="both"/>
      </w:pPr>
      <w:r>
        <w:rPr>
          <w:rFonts w:ascii="Times New Roman" w:hAnsi="Times New Roman" w:eastAsia="仿宋_GB2312" w:cs="Times New Roman"/>
          <w:kern w:val="2"/>
          <w:sz w:val="32"/>
          <w:szCs w:val="24"/>
          <w:lang w:val="en-US" w:eastAsia="zh-CN" w:bidi="ar-SA"/>
        </w:rPr>
        <w:pict>
          <v:line id="直接连接符 6" o:spid="_x0000_s1027"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pgSz w:w="11906" w:h="16838"/>
      <w:pgMar w:top="1814" w:right="1474" w:bottom="1440"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21D58FA"/>
    <w:rsid w:val="041C2318"/>
    <w:rsid w:val="080A10DF"/>
    <w:rsid w:val="0DB340D3"/>
    <w:rsid w:val="0E903544"/>
    <w:rsid w:val="0F74276B"/>
    <w:rsid w:val="13B15269"/>
    <w:rsid w:val="18AE3A99"/>
    <w:rsid w:val="1BA13816"/>
    <w:rsid w:val="1CB4581C"/>
    <w:rsid w:val="1E6B676C"/>
    <w:rsid w:val="23500167"/>
    <w:rsid w:val="27155329"/>
    <w:rsid w:val="27E51518"/>
    <w:rsid w:val="29BC6200"/>
    <w:rsid w:val="3DCE044F"/>
    <w:rsid w:val="44716EA2"/>
    <w:rsid w:val="48557BD7"/>
    <w:rsid w:val="4A9F4D45"/>
    <w:rsid w:val="4D9E246B"/>
    <w:rsid w:val="55861FD3"/>
    <w:rsid w:val="5910034B"/>
    <w:rsid w:val="5BFC2B41"/>
    <w:rsid w:val="634A4F03"/>
    <w:rsid w:val="63E96056"/>
    <w:rsid w:val="6CEA4B15"/>
    <w:rsid w:val="6E391847"/>
    <w:rsid w:val="71E80F39"/>
    <w:rsid w:val="72BC3C5D"/>
    <w:rsid w:val="77023C58"/>
    <w:rsid w:val="7F145DE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吴美琴</cp:lastModifiedBy>
  <dcterms:modified xsi:type="dcterms:W3CDTF">2021-11-02T09:16:50Z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