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jc w:val="center"/>
        <w:textAlignment w:val="auto"/>
        <w:outlineLvl w:val="9"/>
        <w:rPr>
          <w:rFonts w:hint="eastAsia" w:ascii="方正小标宋_GBK" w:hAnsi="方正小标宋_GBK" w:eastAsia="方正小标宋_GBK" w:cs="方正小标宋_GBK"/>
          <w:bCs/>
          <w:sz w:val="44"/>
          <w:szCs w:val="44"/>
          <w:highlight w:val="none"/>
        </w:rPr>
      </w:pPr>
      <w:r>
        <w:rPr>
          <w:rFonts w:hint="eastAsia" w:ascii="方正小标宋_GBK" w:hAnsi="方正小标宋_GBK" w:eastAsia="方正小标宋_GBK" w:cs="方正小标宋_GBK"/>
          <w:bCs/>
          <w:sz w:val="44"/>
          <w:szCs w:val="44"/>
          <w:highlight w:val="none"/>
        </w:rPr>
        <w:t>翁源县</w:t>
      </w:r>
      <w:r>
        <w:rPr>
          <w:rFonts w:hint="eastAsia" w:ascii="方正小标宋_GBK" w:hAnsi="方正小标宋_GBK" w:eastAsia="方正小标宋_GBK" w:cs="方正小标宋_GBK"/>
          <w:bCs/>
          <w:sz w:val="44"/>
          <w:szCs w:val="44"/>
          <w:highlight w:val="none"/>
          <w:lang w:eastAsia="zh-CN"/>
        </w:rPr>
        <w:t>20</w:t>
      </w:r>
      <w:r>
        <w:rPr>
          <w:rFonts w:hint="eastAsia" w:ascii="方正小标宋_GBK" w:hAnsi="方正小标宋_GBK" w:eastAsia="方正小标宋_GBK" w:cs="方正小标宋_GBK"/>
          <w:bCs/>
          <w:sz w:val="44"/>
          <w:szCs w:val="44"/>
          <w:highlight w:val="none"/>
          <w:lang w:val="en-US" w:eastAsia="zh-CN"/>
        </w:rPr>
        <w:t>21</w:t>
      </w:r>
      <w:r>
        <w:rPr>
          <w:rFonts w:hint="eastAsia" w:ascii="方正小标宋_GBK" w:hAnsi="方正小标宋_GBK" w:eastAsia="方正小标宋_GBK" w:cs="方正小标宋_GBK"/>
          <w:bCs/>
          <w:sz w:val="44"/>
          <w:szCs w:val="44"/>
          <w:highlight w:val="none"/>
        </w:rPr>
        <w:t>年预算执行情况和</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outlineLvl w:val="9"/>
        <w:rPr>
          <w:rFonts w:hint="eastAsia" w:ascii="方正小标宋_GBK" w:hAnsi="方正小标宋_GBK" w:eastAsia="方正小标宋_GBK" w:cs="方正小标宋_GBK"/>
          <w:bCs/>
          <w:sz w:val="44"/>
          <w:szCs w:val="44"/>
          <w:highlight w:val="none"/>
        </w:rPr>
      </w:pPr>
      <w:r>
        <w:rPr>
          <w:rFonts w:hint="eastAsia" w:ascii="方正小标宋_GBK" w:hAnsi="方正小标宋_GBK" w:eastAsia="方正小标宋_GBK" w:cs="方正小标宋_GBK"/>
          <w:bCs/>
          <w:sz w:val="44"/>
          <w:szCs w:val="44"/>
          <w:highlight w:val="none"/>
        </w:rPr>
        <w:t>20</w:t>
      </w:r>
      <w:r>
        <w:rPr>
          <w:rFonts w:hint="eastAsia" w:ascii="方正小标宋_GBK" w:hAnsi="方正小标宋_GBK" w:eastAsia="方正小标宋_GBK" w:cs="方正小标宋_GBK"/>
          <w:bCs/>
          <w:sz w:val="44"/>
          <w:szCs w:val="44"/>
          <w:highlight w:val="none"/>
          <w:lang w:val="en-US" w:eastAsia="zh-CN"/>
        </w:rPr>
        <w:t>22</w:t>
      </w:r>
      <w:r>
        <w:rPr>
          <w:rFonts w:hint="eastAsia" w:ascii="方正小标宋_GBK" w:hAnsi="方正小标宋_GBK" w:eastAsia="方正小标宋_GBK" w:cs="方正小标宋_GBK"/>
          <w:bCs/>
          <w:sz w:val="44"/>
          <w:szCs w:val="44"/>
          <w:highlight w:val="none"/>
        </w:rPr>
        <w:t>年预算草案的报告</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楷体" w:eastAsia="楷体_GB2312" w:cs="楷体"/>
          <w:spacing w:val="-20"/>
          <w:sz w:val="32"/>
          <w:szCs w:val="28"/>
          <w:highlight w:val="none"/>
        </w:rPr>
      </w:pPr>
      <w:r>
        <w:rPr>
          <w:rFonts w:hint="eastAsia" w:ascii="楷体_GB2312" w:hAnsi="楷体_GB2312" w:eastAsia="楷体_GB2312"/>
          <w:spacing w:val="-20"/>
          <w:sz w:val="32"/>
          <w:szCs w:val="28"/>
          <w:highlight w:val="none"/>
        </w:rPr>
        <w:t>——</w:t>
      </w:r>
      <w:r>
        <w:rPr>
          <w:rFonts w:hint="eastAsia" w:ascii="楷体_GB2312" w:hAnsi="楷体" w:eastAsia="楷体_GB2312" w:cs="楷体"/>
          <w:spacing w:val="-20"/>
          <w:sz w:val="32"/>
          <w:szCs w:val="28"/>
          <w:highlight w:val="none"/>
        </w:rPr>
        <w:t>20</w:t>
      </w:r>
      <w:r>
        <w:rPr>
          <w:rFonts w:hint="eastAsia" w:ascii="楷体_GB2312" w:hAnsi="楷体" w:eastAsia="楷体_GB2312" w:cs="楷体"/>
          <w:spacing w:val="-20"/>
          <w:sz w:val="32"/>
          <w:szCs w:val="28"/>
          <w:highlight w:val="none"/>
          <w:lang w:val="en-US" w:eastAsia="zh-CN"/>
        </w:rPr>
        <w:t>22</w:t>
      </w:r>
      <w:r>
        <w:rPr>
          <w:rFonts w:hint="eastAsia" w:ascii="楷体_GB2312" w:hAnsi="楷体" w:eastAsia="楷体_GB2312" w:cs="楷体"/>
          <w:spacing w:val="-20"/>
          <w:sz w:val="32"/>
          <w:szCs w:val="28"/>
          <w:highlight w:val="none"/>
        </w:rPr>
        <w:t>年</w:t>
      </w:r>
      <w:r>
        <w:rPr>
          <w:rFonts w:hint="eastAsia" w:ascii="楷体_GB2312" w:hAnsi="楷体" w:eastAsia="楷体_GB2312" w:cs="楷体"/>
          <w:spacing w:val="-20"/>
          <w:sz w:val="32"/>
          <w:szCs w:val="28"/>
          <w:highlight w:val="none"/>
          <w:lang w:val="en-US" w:eastAsia="zh-CN"/>
        </w:rPr>
        <w:t>2</w:t>
      </w:r>
      <w:r>
        <w:rPr>
          <w:rFonts w:hint="eastAsia" w:ascii="楷体_GB2312" w:hAnsi="楷体" w:eastAsia="楷体_GB2312" w:cs="楷体"/>
          <w:spacing w:val="-20"/>
          <w:sz w:val="32"/>
          <w:szCs w:val="28"/>
          <w:highlight w:val="none"/>
        </w:rPr>
        <w:t>月</w:t>
      </w:r>
      <w:r>
        <w:rPr>
          <w:rFonts w:hint="eastAsia" w:ascii="楷体_GB2312" w:hAnsi="楷体" w:eastAsia="楷体_GB2312" w:cs="楷体"/>
          <w:spacing w:val="-20"/>
          <w:sz w:val="32"/>
          <w:szCs w:val="28"/>
          <w:highlight w:val="none"/>
          <w:lang w:val="en-US" w:eastAsia="zh-CN"/>
        </w:rPr>
        <w:t>24日</w:t>
      </w:r>
      <w:r>
        <w:rPr>
          <w:rFonts w:hint="eastAsia" w:ascii="楷体_GB2312" w:hAnsi="楷体" w:eastAsia="楷体_GB2312" w:cs="楷体"/>
          <w:spacing w:val="-20"/>
          <w:sz w:val="32"/>
          <w:szCs w:val="28"/>
          <w:highlight w:val="none"/>
        </w:rPr>
        <w:t>在翁源县第</w:t>
      </w:r>
      <w:r>
        <w:rPr>
          <w:rFonts w:hint="eastAsia" w:ascii="楷体_GB2312" w:hAnsi="楷体" w:eastAsia="楷体_GB2312" w:cs="楷体"/>
          <w:spacing w:val="-20"/>
          <w:sz w:val="32"/>
          <w:szCs w:val="28"/>
          <w:highlight w:val="none"/>
          <w:lang w:val="en-US" w:eastAsia="zh-CN"/>
        </w:rPr>
        <w:t>十六</w:t>
      </w:r>
      <w:r>
        <w:rPr>
          <w:rFonts w:hint="eastAsia" w:ascii="楷体_GB2312" w:hAnsi="楷体" w:eastAsia="楷体_GB2312" w:cs="楷体"/>
          <w:spacing w:val="-20"/>
          <w:sz w:val="32"/>
          <w:szCs w:val="28"/>
          <w:highlight w:val="none"/>
        </w:rPr>
        <w:t>届人民代表大会</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ascii="楷体_GB2312" w:hAnsi="楷体" w:eastAsia="楷体_GB2312" w:cs="楷体"/>
          <w:sz w:val="32"/>
          <w:szCs w:val="32"/>
          <w:highlight w:val="none"/>
        </w:rPr>
      </w:pPr>
      <w:r>
        <w:rPr>
          <w:rFonts w:hint="eastAsia" w:ascii="楷体_GB2312" w:hAnsi="楷体" w:eastAsia="楷体_GB2312" w:cs="楷体"/>
          <w:spacing w:val="-20"/>
          <w:sz w:val="32"/>
          <w:szCs w:val="28"/>
          <w:highlight w:val="none"/>
        </w:rPr>
        <w:t>第</w:t>
      </w:r>
      <w:r>
        <w:rPr>
          <w:rFonts w:hint="eastAsia" w:ascii="楷体_GB2312" w:hAnsi="楷体" w:eastAsia="楷体_GB2312" w:cs="楷体"/>
          <w:spacing w:val="-20"/>
          <w:sz w:val="32"/>
          <w:szCs w:val="28"/>
          <w:highlight w:val="none"/>
          <w:lang w:val="en-US" w:eastAsia="zh-CN"/>
        </w:rPr>
        <w:t>2</w:t>
      </w:r>
      <w:r>
        <w:rPr>
          <w:rFonts w:hint="eastAsia" w:ascii="楷体_GB2312" w:hAnsi="楷体" w:eastAsia="楷体_GB2312" w:cs="楷体"/>
          <w:spacing w:val="-20"/>
          <w:sz w:val="32"/>
          <w:szCs w:val="28"/>
          <w:highlight w:val="none"/>
        </w:rPr>
        <w:t>次会议</w:t>
      </w:r>
      <w:r>
        <w:rPr>
          <w:rFonts w:hint="eastAsia" w:ascii="楷体_GB2312" w:hAnsi="楷体" w:eastAsia="楷体_GB2312" w:cs="楷体"/>
          <w:sz w:val="32"/>
          <w:szCs w:val="32"/>
          <w:highlight w:val="none"/>
        </w:rPr>
        <w:t>上</w:t>
      </w:r>
    </w:p>
    <w:p>
      <w:pPr>
        <w:pStyle w:val="10"/>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楷体_GB2312" w:hAnsi="楷体_GB2312" w:eastAsia="楷体_GB2312"/>
          <w:sz w:val="28"/>
          <w:szCs w:val="28"/>
          <w:highlight w:val="none"/>
          <w:lang w:val="en-US" w:eastAsia="zh-CN"/>
        </w:rPr>
      </w:pPr>
      <w:r>
        <w:rPr>
          <w:rFonts w:hint="eastAsia" w:ascii="楷体_GB2312" w:hAnsi="楷体_GB2312" w:eastAsia="楷体_GB2312"/>
          <w:sz w:val="28"/>
          <w:szCs w:val="28"/>
          <w:highlight w:val="none"/>
        </w:rPr>
        <w:t xml:space="preserve">县财政局局长  </w:t>
      </w:r>
      <w:r>
        <w:rPr>
          <w:rFonts w:hint="eastAsia" w:ascii="楷体_GB2312" w:hAnsi="楷体_GB2312" w:eastAsia="楷体_GB2312"/>
          <w:sz w:val="28"/>
          <w:szCs w:val="28"/>
          <w:highlight w:val="none"/>
          <w:lang w:val="en-US" w:eastAsia="zh-CN"/>
        </w:rPr>
        <w:t xml:space="preserve">  郭海伶</w:t>
      </w:r>
    </w:p>
    <w:p>
      <w:pPr>
        <w:pStyle w:val="10"/>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ascii="仿宋_GB2312" w:hAnsi="仿宋" w:eastAsia="仿宋_GB2312" w:cs="仿宋"/>
          <w:sz w:val="32"/>
          <w:szCs w:val="32"/>
          <w:highlight w:val="none"/>
        </w:rPr>
      </w:pPr>
    </w:p>
    <w:p>
      <w:pPr>
        <w:pStyle w:val="10"/>
        <w:keepNext w:val="0"/>
        <w:keepLines w:val="0"/>
        <w:pageBreakBefore w:val="0"/>
        <w:kinsoku/>
        <w:wordWrap/>
        <w:overflowPunct/>
        <w:topLinePunct w:val="0"/>
        <w:autoSpaceDE/>
        <w:autoSpaceDN/>
        <w:bidi w:val="0"/>
        <w:adjustRightInd/>
        <w:snapToGrid/>
        <w:spacing w:line="560" w:lineRule="exact"/>
        <w:jc w:val="both"/>
        <w:textAlignment w:val="auto"/>
        <w:rPr>
          <w:rFonts w:ascii="仿宋_GB2312" w:hAnsi="仿宋" w:eastAsia="仿宋_GB2312" w:cs="仿宋"/>
          <w:color w:val="auto"/>
          <w:sz w:val="32"/>
          <w:szCs w:val="32"/>
          <w:highlight w:val="none"/>
        </w:rPr>
      </w:pPr>
      <w:r>
        <w:rPr>
          <w:rFonts w:hint="eastAsia" w:ascii="仿宋_GB2312" w:hAnsi="仿宋" w:eastAsia="仿宋_GB2312" w:cs="仿宋"/>
          <w:color w:val="auto"/>
          <w:sz w:val="32"/>
          <w:szCs w:val="32"/>
          <w:highlight w:val="none"/>
        </w:rPr>
        <w:t>各位代表：</w:t>
      </w:r>
    </w:p>
    <w:p>
      <w:pPr>
        <w:pStyle w:val="10"/>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仿宋"/>
          <w:color w:val="auto"/>
          <w:sz w:val="32"/>
          <w:szCs w:val="32"/>
          <w:highlight w:val="none"/>
        </w:rPr>
      </w:pPr>
      <w:r>
        <w:rPr>
          <w:rFonts w:hint="eastAsia" w:ascii="仿宋_GB2312" w:hAnsi="仿宋" w:eastAsia="仿宋_GB2312" w:cs="仿宋"/>
          <w:color w:val="auto"/>
          <w:sz w:val="32"/>
          <w:szCs w:val="32"/>
          <w:highlight w:val="none"/>
        </w:rPr>
        <w:t>受县人民政府委托，我向大会报告翁源县</w:t>
      </w:r>
      <w:r>
        <w:rPr>
          <w:rFonts w:hint="eastAsia" w:ascii="仿宋_GB2312" w:hAnsi="仿宋" w:eastAsia="仿宋_GB2312" w:cs="仿宋"/>
          <w:color w:val="auto"/>
          <w:sz w:val="32"/>
          <w:szCs w:val="32"/>
          <w:highlight w:val="none"/>
          <w:lang w:eastAsia="zh-CN"/>
        </w:rPr>
        <w:t>20</w:t>
      </w:r>
      <w:r>
        <w:rPr>
          <w:rFonts w:hint="eastAsia" w:ascii="仿宋_GB2312" w:hAnsi="仿宋" w:eastAsia="仿宋_GB2312" w:cs="仿宋"/>
          <w:color w:val="auto"/>
          <w:sz w:val="32"/>
          <w:szCs w:val="32"/>
          <w:highlight w:val="none"/>
          <w:lang w:val="en-US" w:eastAsia="zh-CN"/>
        </w:rPr>
        <w:t>21</w:t>
      </w:r>
      <w:r>
        <w:rPr>
          <w:rFonts w:hint="eastAsia" w:ascii="仿宋_GB2312" w:hAnsi="仿宋" w:eastAsia="仿宋_GB2312" w:cs="仿宋"/>
          <w:color w:val="auto"/>
          <w:sz w:val="32"/>
          <w:szCs w:val="32"/>
          <w:highlight w:val="none"/>
        </w:rPr>
        <w:t>年预算执行情况和</w:t>
      </w:r>
      <w:r>
        <w:rPr>
          <w:rFonts w:hint="eastAsia" w:ascii="仿宋_GB2312" w:hAnsi="仿宋" w:eastAsia="仿宋_GB2312" w:cs="仿宋"/>
          <w:color w:val="auto"/>
          <w:sz w:val="32"/>
          <w:szCs w:val="32"/>
          <w:highlight w:val="none"/>
          <w:lang w:eastAsia="zh-CN"/>
        </w:rPr>
        <w:t>202</w:t>
      </w:r>
      <w:r>
        <w:rPr>
          <w:rFonts w:hint="eastAsia" w:ascii="仿宋_GB2312" w:hAnsi="仿宋" w:eastAsia="仿宋_GB2312" w:cs="仿宋"/>
          <w:color w:val="auto"/>
          <w:sz w:val="32"/>
          <w:szCs w:val="32"/>
          <w:highlight w:val="none"/>
          <w:lang w:val="en-US" w:eastAsia="zh-CN"/>
        </w:rPr>
        <w:t>2</w:t>
      </w:r>
      <w:r>
        <w:rPr>
          <w:rFonts w:hint="eastAsia" w:ascii="仿宋_GB2312" w:hAnsi="仿宋" w:eastAsia="仿宋_GB2312" w:cs="仿宋"/>
          <w:color w:val="auto"/>
          <w:sz w:val="32"/>
          <w:szCs w:val="32"/>
          <w:highlight w:val="none"/>
        </w:rPr>
        <w:t>年预算草案，请予审议，并请县政协委员和其他列席人员提出意见。</w:t>
      </w:r>
    </w:p>
    <w:p>
      <w:pPr>
        <w:pStyle w:val="10"/>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一、</w:t>
      </w:r>
      <w:r>
        <w:rPr>
          <w:rFonts w:hint="eastAsia" w:ascii="黑体" w:hAnsi="黑体" w:eastAsia="黑体" w:cs="黑体"/>
          <w:color w:val="auto"/>
          <w:sz w:val="32"/>
          <w:szCs w:val="32"/>
          <w:highlight w:val="none"/>
          <w:lang w:eastAsia="zh-CN"/>
        </w:rPr>
        <w:t>20</w:t>
      </w:r>
      <w:r>
        <w:rPr>
          <w:rFonts w:hint="eastAsia" w:ascii="黑体" w:hAnsi="黑体" w:eastAsia="黑体" w:cs="黑体"/>
          <w:color w:val="auto"/>
          <w:sz w:val="32"/>
          <w:szCs w:val="32"/>
          <w:highlight w:val="none"/>
          <w:lang w:val="en-US" w:eastAsia="zh-CN"/>
        </w:rPr>
        <w:t>21</w:t>
      </w:r>
      <w:r>
        <w:rPr>
          <w:rFonts w:hint="eastAsia" w:ascii="黑体" w:hAnsi="黑体" w:eastAsia="黑体" w:cs="黑体"/>
          <w:color w:val="auto"/>
          <w:sz w:val="32"/>
          <w:szCs w:val="32"/>
          <w:highlight w:val="none"/>
        </w:rPr>
        <w:t>年预算执行情况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方正小标宋简体" w:eastAsia="仿宋_GB2312" w:cs="方正小标宋简体"/>
          <w:bCs/>
          <w:color w:val="auto"/>
          <w:sz w:val="32"/>
          <w:szCs w:val="32"/>
          <w:lang w:eastAsia="zh-CN"/>
        </w:rPr>
      </w:pPr>
      <w:r>
        <w:rPr>
          <w:rFonts w:hint="eastAsia" w:ascii="仿宋_GB2312" w:hAnsi="仿宋_GB2312" w:eastAsia="仿宋_GB2312" w:cs="仿宋_GB2312"/>
          <w:color w:val="auto"/>
          <w:kern w:val="2"/>
          <w:sz w:val="32"/>
          <w:szCs w:val="32"/>
          <w:highlight w:val="none"/>
          <w:lang w:val="en-US" w:eastAsia="zh-CN" w:bidi="ar-SA"/>
        </w:rPr>
        <w:t>2021年是“十四五”规划的开局之年，县财政局在县委、</w:t>
      </w:r>
      <w:r>
        <w:rPr>
          <w:rFonts w:hint="eastAsia" w:ascii="仿宋_GB2312" w:hAnsi="仿宋" w:eastAsia="仿宋_GB2312" w:cs="仿宋"/>
          <w:color w:val="auto"/>
          <w:kern w:val="2"/>
          <w:sz w:val="32"/>
          <w:szCs w:val="32"/>
          <w:highlight w:val="none"/>
          <w:lang w:val="en-US" w:eastAsia="zh-CN" w:bidi="ar-SA"/>
        </w:rPr>
        <w:t>县政府</w:t>
      </w:r>
      <w:r>
        <w:rPr>
          <w:rFonts w:hint="eastAsia" w:ascii="仿宋_GB2312" w:hAnsi="仿宋_GB2312" w:eastAsia="仿宋_GB2312" w:cs="仿宋_GB2312"/>
          <w:color w:val="auto"/>
          <w:kern w:val="2"/>
          <w:sz w:val="32"/>
          <w:szCs w:val="32"/>
          <w:highlight w:val="none"/>
          <w:lang w:val="en-US" w:eastAsia="zh-CN" w:bidi="ar-SA"/>
        </w:rPr>
        <w:t>的正确领导和县人大、县政协的监督指导下，在全县各部门的支持帮助下，</w:t>
      </w:r>
      <w:r>
        <w:rPr>
          <w:rFonts w:hint="eastAsia" w:ascii="仿宋_GB2312" w:hAnsi="方正小标宋简体" w:eastAsia="仿宋_GB2312" w:cs="方正小标宋简体"/>
          <w:bCs/>
          <w:color w:val="auto"/>
          <w:sz w:val="32"/>
          <w:szCs w:val="32"/>
        </w:rPr>
        <w:t>紧紧围绕县委、县政府的决策部署和年度任务目标，按照“紧日子、保基本、调结构、保战略”的原则，针对受减税降费、疫情冲击等多重因素影响所形成的前所未有压力，从危机中探寻机遇，</w:t>
      </w:r>
      <w:r>
        <w:rPr>
          <w:rFonts w:hint="eastAsia" w:ascii="仿宋_GB2312" w:hAnsi="方正小标宋简体" w:eastAsia="仿宋_GB2312" w:cs="方正小标宋简体"/>
          <w:bCs/>
          <w:color w:val="auto"/>
          <w:sz w:val="32"/>
          <w:szCs w:val="32"/>
          <w:lang w:eastAsia="zh-CN"/>
        </w:rPr>
        <w:t>从</w:t>
      </w:r>
      <w:r>
        <w:rPr>
          <w:rFonts w:hint="eastAsia" w:ascii="仿宋_GB2312" w:hAnsi="方正小标宋简体" w:eastAsia="仿宋_GB2312" w:cs="方正小标宋简体"/>
          <w:bCs/>
          <w:color w:val="auto"/>
          <w:sz w:val="32"/>
          <w:szCs w:val="32"/>
        </w:rPr>
        <w:t>压力中提炼动力，坚定全年财政收支平衡目标，积极探索，共克时艰，以强有力举措扎实深入推进预算管理改革，加强财政预算管理,着力提高预算执行效率和资金使用效益，</w:t>
      </w:r>
      <w:r>
        <w:rPr>
          <w:rFonts w:hint="eastAsia" w:ascii="仿宋_GB2312" w:hAnsi="方正小标宋简体" w:eastAsia="仿宋_GB2312" w:cs="方正小标宋简体"/>
          <w:bCs/>
          <w:color w:val="auto"/>
          <w:sz w:val="32"/>
          <w:szCs w:val="32"/>
          <w:lang w:eastAsia="zh-CN"/>
        </w:rPr>
        <w:t>圆满完成了人大通过的收支预算任务。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ascii="楷体_GB2312" w:hAnsi="楷体" w:eastAsia="楷体_GB2312" w:cs="楷体"/>
          <w:b/>
          <w:color w:val="auto"/>
          <w:sz w:val="32"/>
          <w:szCs w:val="32"/>
          <w:highlight w:val="none"/>
        </w:rPr>
      </w:pPr>
      <w:r>
        <w:rPr>
          <w:rFonts w:hint="eastAsia" w:ascii="楷体_GB2312" w:hAnsi="楷体" w:eastAsia="楷体_GB2312" w:cs="楷体"/>
          <w:color w:val="auto"/>
          <w:sz w:val="32"/>
          <w:szCs w:val="32"/>
          <w:highlight w:val="none"/>
        </w:rPr>
        <w:t>（一）一般公共预算</w:t>
      </w:r>
      <w:r>
        <w:rPr>
          <w:rFonts w:hint="eastAsia" w:ascii="楷体_GB2312" w:hAnsi="楷体" w:eastAsia="楷体_GB2312" w:cs="楷体"/>
          <w:color w:val="auto"/>
          <w:sz w:val="32"/>
          <w:szCs w:val="32"/>
          <w:highlight w:val="none"/>
          <w:vertAlign w:val="superscript"/>
        </w:rPr>
        <w:fldChar w:fldCharType="begin"/>
      </w:r>
      <w:r>
        <w:rPr>
          <w:rFonts w:hint="eastAsia" w:ascii="楷体_GB2312" w:hAnsi="楷体" w:eastAsia="楷体_GB2312" w:cs="楷体"/>
          <w:color w:val="auto"/>
          <w:sz w:val="32"/>
          <w:szCs w:val="32"/>
          <w:highlight w:val="none"/>
          <w:vertAlign w:val="superscript"/>
        </w:rPr>
        <w:instrText xml:space="preserve"> = 1 \* GB3 \* MERGEFORMAT </w:instrText>
      </w:r>
      <w:r>
        <w:rPr>
          <w:rFonts w:hint="eastAsia" w:ascii="楷体_GB2312" w:hAnsi="楷体" w:eastAsia="楷体_GB2312" w:cs="楷体"/>
          <w:color w:val="auto"/>
          <w:sz w:val="32"/>
          <w:szCs w:val="32"/>
          <w:highlight w:val="none"/>
          <w:vertAlign w:val="superscript"/>
        </w:rPr>
        <w:fldChar w:fldCharType="separate"/>
      </w:r>
      <w:r>
        <w:rPr>
          <w:rFonts w:hint="eastAsia" w:ascii="楷体_GB2312" w:hAnsi="楷体" w:eastAsia="楷体_GB2312" w:cs="楷体"/>
          <w:color w:val="auto"/>
          <w:sz w:val="32"/>
          <w:szCs w:val="32"/>
          <w:highlight w:val="none"/>
          <w:vertAlign w:val="superscript"/>
        </w:rPr>
        <w:t>①</w:t>
      </w:r>
      <w:r>
        <w:rPr>
          <w:rFonts w:hint="eastAsia" w:ascii="楷体_GB2312" w:hAnsi="楷体" w:eastAsia="楷体_GB2312" w:cs="楷体"/>
          <w:color w:val="auto"/>
          <w:sz w:val="32"/>
          <w:szCs w:val="32"/>
          <w:highlight w:val="none"/>
          <w:vertAlign w:val="superscript"/>
        </w:rPr>
        <w:fldChar w:fldCharType="end"/>
      </w:r>
      <w:r>
        <w:rPr>
          <w:rFonts w:hint="eastAsia" w:ascii="楷体_GB2312" w:hAnsi="楷体" w:eastAsia="楷体_GB2312" w:cs="楷体"/>
          <w:color w:val="auto"/>
          <w:sz w:val="32"/>
          <w:szCs w:val="32"/>
          <w:highlight w:val="none"/>
        </w:rPr>
        <w:t>执行情况（附</w:t>
      </w:r>
      <w:r>
        <w:rPr>
          <w:rFonts w:hint="eastAsia" w:ascii="楷体_GB2312" w:hAnsi="楷体" w:eastAsia="楷体_GB2312" w:cs="楷体"/>
          <w:color w:val="auto"/>
          <w:sz w:val="32"/>
          <w:szCs w:val="32"/>
          <w:highlight w:val="none"/>
          <w:lang w:eastAsia="zh-CN"/>
        </w:rPr>
        <w:t>件</w:t>
      </w:r>
      <w:r>
        <w:rPr>
          <w:rFonts w:hint="eastAsia" w:ascii="楷体_GB2312" w:hAnsi="楷体" w:eastAsia="楷体_GB2312" w:cs="楷体"/>
          <w:color w:val="auto"/>
          <w:sz w:val="32"/>
          <w:szCs w:val="32"/>
          <w:highlight w:val="none"/>
          <w:lang w:val="en-US" w:eastAsia="zh-CN"/>
        </w:rPr>
        <w:t>1</w:t>
      </w:r>
      <w:r>
        <w:rPr>
          <w:rFonts w:hint="eastAsia" w:ascii="楷体_GB2312" w:hAnsi="楷体" w:eastAsia="楷体_GB2312" w:cs="楷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 w:eastAsia="仿宋_GB2312" w:cs="仿宋"/>
          <w:color w:val="auto"/>
          <w:sz w:val="32"/>
          <w:szCs w:val="32"/>
          <w:highlight w:val="none"/>
        </w:rPr>
      </w:pPr>
      <w:r>
        <w:rPr>
          <w:rFonts w:hint="eastAsia" w:ascii="仿宋_GB2312" w:hAnsi="仿宋" w:eastAsia="仿宋_GB2312" w:cs="仿宋"/>
          <w:color w:val="auto"/>
          <w:sz w:val="32"/>
          <w:szCs w:val="32"/>
          <w:highlight w:val="none"/>
          <w:lang w:eastAsia="zh-CN"/>
        </w:rPr>
        <w:t>202</w:t>
      </w:r>
      <w:r>
        <w:rPr>
          <w:rFonts w:hint="eastAsia" w:ascii="仿宋_GB2312" w:hAnsi="仿宋" w:eastAsia="仿宋_GB2312" w:cs="仿宋"/>
          <w:color w:val="auto"/>
          <w:sz w:val="32"/>
          <w:szCs w:val="32"/>
          <w:highlight w:val="none"/>
          <w:lang w:val="en-US" w:eastAsia="zh-CN"/>
        </w:rPr>
        <w:t>1</w:t>
      </w:r>
      <w:r>
        <w:rPr>
          <w:rFonts w:hint="eastAsia" w:ascii="仿宋_GB2312" w:hAnsi="仿宋" w:eastAsia="仿宋_GB2312" w:cs="仿宋"/>
          <w:color w:val="auto"/>
          <w:sz w:val="32"/>
          <w:szCs w:val="32"/>
          <w:highlight w:val="none"/>
        </w:rPr>
        <w:t>年</w:t>
      </w:r>
      <w:r>
        <w:rPr>
          <w:rFonts w:hint="eastAsia" w:ascii="仿宋_GB2312" w:hAnsi="仿宋" w:eastAsia="仿宋_GB2312" w:cs="仿宋"/>
          <w:color w:val="auto"/>
          <w:sz w:val="32"/>
          <w:szCs w:val="32"/>
          <w:highlight w:val="none"/>
          <w:lang w:eastAsia="zh-CN"/>
        </w:rPr>
        <w:t>，我县</w:t>
      </w:r>
      <w:r>
        <w:rPr>
          <w:rFonts w:hint="eastAsia" w:ascii="仿宋_GB2312" w:hAnsi="仿宋" w:eastAsia="仿宋_GB2312" w:cs="仿宋"/>
          <w:color w:val="auto"/>
          <w:sz w:val="32"/>
          <w:szCs w:val="32"/>
          <w:highlight w:val="none"/>
        </w:rPr>
        <w:t>一般公共预算收入完成</w:t>
      </w:r>
      <w:r>
        <w:rPr>
          <w:rFonts w:hint="eastAsia" w:ascii="仿宋_GB2312" w:hAnsi="仿宋" w:eastAsia="仿宋_GB2312" w:cs="仿宋"/>
          <w:color w:val="auto"/>
          <w:sz w:val="32"/>
          <w:szCs w:val="32"/>
          <w:highlight w:val="none"/>
          <w:lang w:val="en-US" w:eastAsia="zh-CN"/>
        </w:rPr>
        <w:t>389,700</w:t>
      </w:r>
      <w:r>
        <w:rPr>
          <w:rFonts w:hint="eastAsia" w:ascii="仿宋_GB2312" w:hAnsi="仿宋" w:eastAsia="仿宋_GB2312" w:cs="仿宋"/>
          <w:color w:val="auto"/>
          <w:sz w:val="32"/>
          <w:szCs w:val="32"/>
          <w:highlight w:val="none"/>
        </w:rPr>
        <w:t>万元，为年度预算的</w:t>
      </w:r>
      <w:r>
        <w:rPr>
          <w:rFonts w:hint="eastAsia" w:ascii="仿宋_GB2312" w:hAnsi="仿宋" w:eastAsia="仿宋_GB2312" w:cs="仿宋"/>
          <w:color w:val="auto"/>
          <w:sz w:val="32"/>
          <w:szCs w:val="32"/>
          <w:highlight w:val="none"/>
          <w:lang w:val="en-US" w:eastAsia="zh-CN"/>
        </w:rPr>
        <w:t>100</w:t>
      </w:r>
      <w:r>
        <w:rPr>
          <w:rFonts w:hint="eastAsia" w:ascii="仿宋_GB2312" w:hAnsi="仿宋" w:eastAsia="仿宋_GB2312" w:cs="仿宋"/>
          <w:color w:val="auto"/>
          <w:sz w:val="32"/>
          <w:szCs w:val="32"/>
          <w:highlight w:val="none"/>
        </w:rPr>
        <w:t>%，比上年</w:t>
      </w:r>
      <w:r>
        <w:rPr>
          <w:rFonts w:hint="eastAsia" w:ascii="仿宋_GB2312" w:hAnsi="仿宋" w:eastAsia="仿宋_GB2312" w:cs="仿宋"/>
          <w:color w:val="auto"/>
          <w:sz w:val="32"/>
          <w:szCs w:val="32"/>
          <w:highlight w:val="none"/>
          <w:lang w:eastAsia="zh-CN"/>
        </w:rPr>
        <w:t>增长</w:t>
      </w:r>
      <w:r>
        <w:rPr>
          <w:rFonts w:hint="eastAsia" w:ascii="仿宋_GB2312" w:hAnsi="仿宋" w:eastAsia="仿宋_GB2312" w:cs="仿宋"/>
          <w:color w:val="auto"/>
          <w:sz w:val="32"/>
          <w:szCs w:val="32"/>
          <w:highlight w:val="none"/>
          <w:lang w:val="en-US" w:eastAsia="zh-CN"/>
        </w:rPr>
        <w:t>0.65%</w:t>
      </w:r>
      <w:r>
        <w:rPr>
          <w:rFonts w:hint="eastAsia" w:ascii="仿宋_GB2312" w:hAnsi="仿宋" w:eastAsia="仿宋_GB2312" w:cs="仿宋"/>
          <w:color w:val="auto"/>
          <w:sz w:val="32"/>
          <w:szCs w:val="32"/>
          <w:highlight w:val="none"/>
        </w:rPr>
        <w:t>。一般公共预算本级收入完成</w:t>
      </w:r>
      <w:r>
        <w:rPr>
          <w:rFonts w:hint="eastAsia" w:ascii="仿宋_GB2312" w:hAnsi="仿宋" w:eastAsia="仿宋_GB2312" w:cs="仿宋"/>
          <w:color w:val="auto"/>
          <w:sz w:val="32"/>
          <w:szCs w:val="32"/>
          <w:highlight w:val="none"/>
          <w:lang w:val="en-US" w:eastAsia="zh-CN"/>
        </w:rPr>
        <w:t>79,844</w:t>
      </w:r>
      <w:r>
        <w:rPr>
          <w:rFonts w:hint="eastAsia" w:ascii="仿宋_GB2312" w:hAnsi="仿宋" w:eastAsia="仿宋_GB2312" w:cs="仿宋"/>
          <w:color w:val="auto"/>
          <w:sz w:val="32"/>
          <w:szCs w:val="32"/>
          <w:highlight w:val="none"/>
        </w:rPr>
        <w:t>万元，增长</w:t>
      </w:r>
      <w:r>
        <w:rPr>
          <w:rFonts w:hint="eastAsia" w:ascii="仿宋_GB2312" w:hAnsi="仿宋" w:eastAsia="仿宋_GB2312" w:cs="仿宋"/>
          <w:color w:val="auto"/>
          <w:sz w:val="32"/>
          <w:szCs w:val="32"/>
          <w:highlight w:val="none"/>
          <w:lang w:val="en-US" w:eastAsia="zh-CN"/>
        </w:rPr>
        <w:t>19.01%</w:t>
      </w:r>
      <w:r>
        <w:rPr>
          <w:rFonts w:hint="eastAsia" w:ascii="仿宋_GB2312" w:hAnsi="仿宋" w:eastAsia="仿宋_GB2312" w:cs="仿宋"/>
          <w:color w:val="auto"/>
          <w:sz w:val="32"/>
          <w:szCs w:val="32"/>
          <w:highlight w:val="none"/>
        </w:rPr>
        <w:t>，其中：税收收入</w:t>
      </w:r>
      <w:r>
        <w:rPr>
          <w:rFonts w:hint="eastAsia" w:ascii="仿宋_GB2312" w:hAnsi="仿宋" w:eastAsia="仿宋_GB2312" w:cs="仿宋"/>
          <w:color w:val="auto"/>
          <w:sz w:val="32"/>
          <w:szCs w:val="32"/>
          <w:highlight w:val="none"/>
          <w:vertAlign w:val="superscript"/>
        </w:rPr>
        <w:fldChar w:fldCharType="begin"/>
      </w:r>
      <w:r>
        <w:rPr>
          <w:rFonts w:hint="eastAsia" w:ascii="仿宋_GB2312" w:hAnsi="仿宋" w:eastAsia="仿宋_GB2312" w:cs="仿宋"/>
          <w:color w:val="auto"/>
          <w:sz w:val="32"/>
          <w:szCs w:val="32"/>
          <w:highlight w:val="none"/>
          <w:vertAlign w:val="superscript"/>
        </w:rPr>
        <w:instrText xml:space="preserve"> = 2 \* GB3 \* MERGEFORMAT </w:instrText>
      </w:r>
      <w:r>
        <w:rPr>
          <w:rFonts w:hint="eastAsia" w:ascii="仿宋_GB2312" w:hAnsi="仿宋" w:eastAsia="仿宋_GB2312" w:cs="仿宋"/>
          <w:color w:val="auto"/>
          <w:sz w:val="32"/>
          <w:szCs w:val="32"/>
          <w:highlight w:val="none"/>
          <w:vertAlign w:val="superscript"/>
        </w:rPr>
        <w:fldChar w:fldCharType="separate"/>
      </w:r>
      <w:r>
        <w:rPr>
          <w:rFonts w:hint="eastAsia" w:ascii="仿宋_GB2312" w:hAnsi="仿宋" w:eastAsia="仿宋_GB2312" w:cs="仿宋"/>
          <w:color w:val="auto"/>
          <w:sz w:val="32"/>
          <w:szCs w:val="32"/>
          <w:highlight w:val="none"/>
          <w:vertAlign w:val="superscript"/>
        </w:rPr>
        <w:t>②</w:t>
      </w:r>
      <w:r>
        <w:rPr>
          <w:rFonts w:hint="eastAsia" w:ascii="仿宋_GB2312" w:hAnsi="仿宋" w:eastAsia="仿宋_GB2312" w:cs="仿宋"/>
          <w:color w:val="auto"/>
          <w:sz w:val="32"/>
          <w:szCs w:val="32"/>
          <w:highlight w:val="none"/>
          <w:vertAlign w:val="superscript"/>
        </w:rPr>
        <w:fldChar w:fldCharType="end"/>
      </w:r>
      <w:r>
        <w:rPr>
          <w:rFonts w:hint="eastAsia" w:ascii="仿宋_GB2312" w:hAnsi="仿宋" w:eastAsia="仿宋_GB2312" w:cs="仿宋"/>
          <w:color w:val="auto"/>
          <w:sz w:val="32"/>
          <w:szCs w:val="32"/>
          <w:highlight w:val="none"/>
        </w:rPr>
        <w:t>累计完成</w:t>
      </w:r>
      <w:r>
        <w:rPr>
          <w:rFonts w:hint="eastAsia" w:ascii="仿宋_GB2312" w:hAnsi="仿宋" w:eastAsia="仿宋_GB2312" w:cs="仿宋"/>
          <w:color w:val="auto"/>
          <w:sz w:val="32"/>
          <w:szCs w:val="32"/>
          <w:highlight w:val="none"/>
          <w:lang w:val="en-US" w:eastAsia="zh-CN"/>
        </w:rPr>
        <w:t>41,080</w:t>
      </w:r>
      <w:r>
        <w:rPr>
          <w:rFonts w:hint="eastAsia" w:ascii="仿宋_GB2312" w:hAnsi="仿宋" w:eastAsia="仿宋_GB2312" w:cs="仿宋"/>
          <w:color w:val="auto"/>
          <w:sz w:val="32"/>
          <w:szCs w:val="32"/>
          <w:highlight w:val="none"/>
        </w:rPr>
        <w:t>万元，同比增长</w:t>
      </w:r>
      <w:r>
        <w:rPr>
          <w:rFonts w:hint="eastAsia" w:ascii="仿宋_GB2312" w:hAnsi="仿宋" w:eastAsia="仿宋_GB2312" w:cs="仿宋"/>
          <w:color w:val="auto"/>
          <w:sz w:val="32"/>
          <w:szCs w:val="32"/>
          <w:highlight w:val="none"/>
          <w:lang w:val="en-US" w:eastAsia="zh-CN"/>
        </w:rPr>
        <w:t>12.39</w:t>
      </w:r>
      <w:r>
        <w:rPr>
          <w:rFonts w:hint="eastAsia" w:ascii="仿宋_GB2312" w:hAnsi="仿宋" w:eastAsia="仿宋_GB2312" w:cs="仿宋"/>
          <w:color w:val="auto"/>
          <w:sz w:val="32"/>
          <w:szCs w:val="32"/>
          <w:highlight w:val="none"/>
        </w:rPr>
        <w:t>%；非税收入</w:t>
      </w:r>
      <w:r>
        <w:rPr>
          <w:rFonts w:hint="eastAsia" w:ascii="仿宋_GB2312" w:hAnsi="仿宋" w:eastAsia="仿宋_GB2312" w:cs="仿宋"/>
          <w:color w:val="auto"/>
          <w:sz w:val="32"/>
          <w:szCs w:val="32"/>
          <w:highlight w:val="none"/>
          <w:vertAlign w:val="superscript"/>
        </w:rPr>
        <w:fldChar w:fldCharType="begin"/>
      </w:r>
      <w:r>
        <w:rPr>
          <w:rFonts w:hint="eastAsia" w:ascii="仿宋_GB2312" w:hAnsi="仿宋" w:eastAsia="仿宋_GB2312" w:cs="仿宋"/>
          <w:color w:val="auto"/>
          <w:sz w:val="32"/>
          <w:szCs w:val="32"/>
          <w:highlight w:val="none"/>
          <w:vertAlign w:val="superscript"/>
        </w:rPr>
        <w:instrText xml:space="preserve"> = 3 \* GB3 \* MERGEFORMAT </w:instrText>
      </w:r>
      <w:r>
        <w:rPr>
          <w:rFonts w:hint="eastAsia" w:ascii="仿宋_GB2312" w:hAnsi="仿宋" w:eastAsia="仿宋_GB2312" w:cs="仿宋"/>
          <w:color w:val="auto"/>
          <w:sz w:val="32"/>
          <w:szCs w:val="32"/>
          <w:highlight w:val="none"/>
          <w:vertAlign w:val="superscript"/>
        </w:rPr>
        <w:fldChar w:fldCharType="separate"/>
      </w:r>
      <w:r>
        <w:rPr>
          <w:rFonts w:hint="eastAsia" w:ascii="仿宋_GB2312" w:hAnsi="仿宋" w:eastAsia="仿宋_GB2312" w:cs="仿宋"/>
          <w:color w:val="auto"/>
          <w:sz w:val="32"/>
          <w:szCs w:val="32"/>
          <w:highlight w:val="none"/>
          <w:vertAlign w:val="superscript"/>
        </w:rPr>
        <w:t>③</w:t>
      </w:r>
      <w:r>
        <w:rPr>
          <w:rFonts w:hint="eastAsia" w:ascii="仿宋_GB2312" w:hAnsi="仿宋" w:eastAsia="仿宋_GB2312" w:cs="仿宋"/>
          <w:color w:val="auto"/>
          <w:sz w:val="32"/>
          <w:szCs w:val="32"/>
          <w:highlight w:val="none"/>
          <w:vertAlign w:val="superscript"/>
        </w:rPr>
        <w:fldChar w:fldCharType="end"/>
      </w:r>
      <w:r>
        <w:rPr>
          <w:rFonts w:hint="eastAsia" w:ascii="仿宋_GB2312" w:hAnsi="仿宋" w:eastAsia="仿宋_GB2312" w:cs="仿宋"/>
          <w:color w:val="auto"/>
          <w:sz w:val="32"/>
          <w:szCs w:val="32"/>
          <w:highlight w:val="none"/>
        </w:rPr>
        <w:t>累计完成</w:t>
      </w:r>
      <w:r>
        <w:rPr>
          <w:rFonts w:hint="eastAsia" w:ascii="仿宋_GB2312" w:hAnsi="仿宋" w:eastAsia="仿宋_GB2312" w:cs="仿宋"/>
          <w:color w:val="auto"/>
          <w:sz w:val="32"/>
          <w:szCs w:val="32"/>
          <w:highlight w:val="none"/>
          <w:lang w:val="en-US" w:eastAsia="zh-CN"/>
        </w:rPr>
        <w:t>38,764</w:t>
      </w:r>
      <w:r>
        <w:rPr>
          <w:rFonts w:hint="eastAsia" w:ascii="仿宋_GB2312" w:hAnsi="仿宋" w:eastAsia="仿宋_GB2312" w:cs="仿宋"/>
          <w:color w:val="auto"/>
          <w:sz w:val="32"/>
          <w:szCs w:val="32"/>
          <w:highlight w:val="none"/>
        </w:rPr>
        <w:t>万元，同比增长</w:t>
      </w:r>
      <w:r>
        <w:rPr>
          <w:rFonts w:hint="eastAsia" w:ascii="仿宋_GB2312" w:hAnsi="仿宋" w:eastAsia="仿宋_GB2312" w:cs="仿宋"/>
          <w:color w:val="auto"/>
          <w:sz w:val="32"/>
          <w:szCs w:val="32"/>
          <w:highlight w:val="none"/>
          <w:lang w:val="en-US" w:eastAsia="zh-CN"/>
        </w:rPr>
        <w:t>26.93</w:t>
      </w:r>
      <w:r>
        <w:rPr>
          <w:rFonts w:hint="eastAsia" w:ascii="仿宋_GB2312" w:hAnsi="仿宋" w:eastAsia="仿宋_GB2312" w:cs="仿宋"/>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 w:eastAsia="仿宋_GB2312" w:cs="仿宋"/>
          <w:color w:val="auto"/>
          <w:sz w:val="32"/>
          <w:szCs w:val="32"/>
          <w:highlight w:val="none"/>
          <w:lang w:eastAsia="zh-CN"/>
        </w:rPr>
      </w:pPr>
      <w:r>
        <w:rPr>
          <w:rFonts w:hint="eastAsia" w:ascii="仿宋_GB2312" w:hAnsi="仿宋" w:eastAsia="仿宋_GB2312" w:cs="仿宋"/>
          <w:color w:val="auto"/>
          <w:sz w:val="32"/>
          <w:szCs w:val="32"/>
          <w:highlight w:val="none"/>
          <w:lang w:eastAsia="zh-CN"/>
        </w:rPr>
        <w:t>202</w:t>
      </w:r>
      <w:r>
        <w:rPr>
          <w:rFonts w:hint="eastAsia" w:ascii="仿宋_GB2312" w:hAnsi="仿宋" w:eastAsia="仿宋_GB2312" w:cs="仿宋"/>
          <w:color w:val="auto"/>
          <w:sz w:val="32"/>
          <w:szCs w:val="32"/>
          <w:highlight w:val="none"/>
          <w:lang w:val="en-US" w:eastAsia="zh-CN"/>
        </w:rPr>
        <w:t>1</w:t>
      </w:r>
      <w:r>
        <w:rPr>
          <w:rFonts w:hint="eastAsia" w:ascii="仿宋_GB2312" w:hAnsi="仿宋" w:eastAsia="仿宋_GB2312" w:cs="仿宋"/>
          <w:color w:val="auto"/>
          <w:sz w:val="32"/>
          <w:szCs w:val="32"/>
          <w:highlight w:val="none"/>
        </w:rPr>
        <w:t>年，我县一般公共预算</w:t>
      </w:r>
      <w:r>
        <w:rPr>
          <w:rFonts w:hint="eastAsia" w:ascii="仿宋_GB2312" w:hAnsi="仿宋" w:eastAsia="仿宋_GB2312" w:cs="仿宋"/>
          <w:color w:val="auto"/>
          <w:sz w:val="32"/>
          <w:szCs w:val="32"/>
          <w:highlight w:val="none"/>
          <w:lang w:eastAsia="zh-CN"/>
        </w:rPr>
        <w:t>本级</w:t>
      </w:r>
      <w:r>
        <w:rPr>
          <w:rFonts w:hint="eastAsia" w:ascii="仿宋_GB2312" w:hAnsi="仿宋" w:eastAsia="仿宋_GB2312" w:cs="仿宋"/>
          <w:color w:val="auto"/>
          <w:sz w:val="32"/>
          <w:szCs w:val="32"/>
          <w:highlight w:val="none"/>
        </w:rPr>
        <w:t>支出累计完成</w:t>
      </w:r>
      <w:r>
        <w:rPr>
          <w:rFonts w:hint="eastAsia" w:ascii="仿宋_GB2312" w:hAnsi="仿宋" w:eastAsia="仿宋_GB2312" w:cs="仿宋"/>
          <w:color w:val="auto"/>
          <w:sz w:val="32"/>
          <w:szCs w:val="32"/>
          <w:highlight w:val="none"/>
          <w:lang w:val="en-US" w:eastAsia="zh-CN"/>
        </w:rPr>
        <w:t>346,842</w:t>
      </w:r>
      <w:r>
        <w:rPr>
          <w:rFonts w:hint="eastAsia" w:ascii="仿宋_GB2312" w:hAnsi="仿宋" w:eastAsia="仿宋_GB2312" w:cs="仿宋"/>
          <w:color w:val="auto"/>
          <w:sz w:val="32"/>
          <w:szCs w:val="32"/>
          <w:highlight w:val="none"/>
        </w:rPr>
        <w:t>万元，同比</w:t>
      </w:r>
      <w:r>
        <w:rPr>
          <w:rFonts w:hint="eastAsia" w:ascii="仿宋_GB2312" w:hAnsi="仿宋" w:eastAsia="仿宋_GB2312" w:cs="仿宋"/>
          <w:color w:val="auto"/>
          <w:sz w:val="32"/>
          <w:szCs w:val="32"/>
          <w:highlight w:val="none"/>
          <w:lang w:eastAsia="zh-CN"/>
        </w:rPr>
        <w:t>下降</w:t>
      </w:r>
      <w:r>
        <w:rPr>
          <w:rFonts w:hint="eastAsia" w:ascii="仿宋_GB2312" w:hAnsi="仿宋" w:eastAsia="仿宋_GB2312" w:cs="仿宋"/>
          <w:color w:val="auto"/>
          <w:sz w:val="32"/>
          <w:szCs w:val="32"/>
          <w:highlight w:val="none"/>
          <w:lang w:val="en-US" w:eastAsia="zh-CN"/>
        </w:rPr>
        <w:t>1.06</w:t>
      </w:r>
      <w:r>
        <w:rPr>
          <w:rFonts w:hint="eastAsia" w:ascii="仿宋_GB2312" w:hAnsi="仿宋" w:eastAsia="仿宋_GB2312" w:cs="仿宋"/>
          <w:color w:val="auto"/>
          <w:sz w:val="32"/>
          <w:szCs w:val="32"/>
          <w:highlight w:val="none"/>
        </w:rPr>
        <w:t>%</w:t>
      </w:r>
      <w:r>
        <w:rPr>
          <w:rFonts w:hint="eastAsia" w:ascii="仿宋_GB2312" w:hAnsi="仿宋" w:eastAsia="仿宋_GB2312" w:cs="仿宋"/>
          <w:color w:val="auto"/>
          <w:sz w:val="32"/>
          <w:szCs w:val="32"/>
          <w:highlight w:val="none"/>
          <w:lang w:eastAsia="zh-CN"/>
        </w:rPr>
        <w:t>。加上上解上级支出</w:t>
      </w:r>
      <w:r>
        <w:rPr>
          <w:rFonts w:hint="eastAsia" w:ascii="仿宋_GB2312" w:hAnsi="仿宋" w:eastAsia="仿宋_GB2312" w:cs="仿宋"/>
          <w:color w:val="auto"/>
          <w:sz w:val="32"/>
          <w:szCs w:val="32"/>
          <w:highlight w:val="none"/>
          <w:lang w:val="en-US" w:eastAsia="zh-CN"/>
        </w:rPr>
        <w:t>5,122</w:t>
      </w:r>
      <w:r>
        <w:rPr>
          <w:rFonts w:hint="eastAsia" w:ascii="仿宋_GB2312" w:hAnsi="仿宋" w:eastAsia="仿宋_GB2312" w:cs="仿宋"/>
          <w:color w:val="auto"/>
          <w:sz w:val="32"/>
          <w:szCs w:val="32"/>
          <w:highlight w:val="none"/>
          <w:lang w:eastAsia="zh-CN"/>
        </w:rPr>
        <w:t>万元，债务还本支出</w:t>
      </w:r>
      <w:r>
        <w:rPr>
          <w:rFonts w:hint="eastAsia" w:ascii="仿宋_GB2312" w:hAnsi="仿宋" w:eastAsia="仿宋_GB2312" w:cs="仿宋"/>
          <w:color w:val="auto"/>
          <w:sz w:val="32"/>
          <w:szCs w:val="32"/>
          <w:highlight w:val="none"/>
          <w:lang w:val="en-US" w:eastAsia="zh-CN"/>
        </w:rPr>
        <w:t>5,052</w:t>
      </w:r>
      <w:r>
        <w:rPr>
          <w:rFonts w:hint="eastAsia" w:ascii="仿宋_GB2312" w:hAnsi="仿宋" w:eastAsia="仿宋_GB2312" w:cs="仿宋"/>
          <w:color w:val="auto"/>
          <w:sz w:val="32"/>
          <w:szCs w:val="32"/>
          <w:highlight w:val="none"/>
          <w:lang w:eastAsia="zh-CN"/>
        </w:rPr>
        <w:t>万元，安排预算稳定调节基金</w:t>
      </w:r>
      <w:r>
        <w:rPr>
          <w:rFonts w:hint="eastAsia" w:ascii="仿宋_GB2312" w:hAnsi="仿宋" w:eastAsia="仿宋_GB2312" w:cs="仿宋"/>
          <w:color w:val="auto"/>
          <w:sz w:val="32"/>
          <w:szCs w:val="32"/>
          <w:highlight w:val="none"/>
          <w:lang w:val="en-US" w:eastAsia="zh-CN"/>
        </w:rPr>
        <w:t>16,710万元，</w:t>
      </w:r>
      <w:r>
        <w:rPr>
          <w:rFonts w:hint="eastAsia" w:ascii="仿宋_GB2312" w:hAnsi="仿宋" w:eastAsia="仿宋_GB2312" w:cs="仿宋"/>
          <w:color w:val="auto"/>
          <w:sz w:val="32"/>
          <w:szCs w:val="32"/>
          <w:highlight w:val="none"/>
          <w:lang w:eastAsia="zh-CN"/>
        </w:rPr>
        <w:t>全县一般公共预算总支出为</w:t>
      </w:r>
      <w:r>
        <w:rPr>
          <w:rFonts w:hint="eastAsia" w:ascii="仿宋_GB2312" w:hAnsi="仿宋" w:eastAsia="仿宋_GB2312" w:cs="仿宋"/>
          <w:color w:val="auto"/>
          <w:sz w:val="32"/>
          <w:szCs w:val="32"/>
          <w:highlight w:val="none"/>
          <w:lang w:val="en-US" w:eastAsia="zh-CN"/>
        </w:rPr>
        <w:t>373,726</w:t>
      </w:r>
      <w:r>
        <w:rPr>
          <w:rFonts w:hint="eastAsia" w:ascii="仿宋_GB2312" w:hAnsi="仿宋" w:eastAsia="仿宋_GB2312" w:cs="仿宋"/>
          <w:color w:val="auto"/>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仿宋_GB2312" w:hAnsi="仿宋" w:eastAsia="仿宋_GB2312" w:cs="仿宋"/>
          <w:color w:val="auto"/>
          <w:sz w:val="32"/>
          <w:szCs w:val="32"/>
          <w:highlight w:val="none"/>
          <w:lang w:val="en-US" w:eastAsia="zh-CN"/>
        </w:rPr>
      </w:pPr>
      <w:r>
        <w:rPr>
          <w:rFonts w:hint="eastAsia" w:ascii="仿宋_GB2312" w:hAnsi="仿宋" w:eastAsia="仿宋_GB2312" w:cs="仿宋"/>
          <w:color w:val="auto"/>
          <w:sz w:val="32"/>
          <w:szCs w:val="32"/>
          <w:highlight w:val="none"/>
          <w:lang w:eastAsia="zh-CN"/>
        </w:rPr>
        <w:t>收支相抵，结余</w:t>
      </w:r>
      <w:r>
        <w:rPr>
          <w:rFonts w:hint="eastAsia" w:ascii="仿宋_GB2312" w:hAnsi="仿宋" w:eastAsia="仿宋_GB2312" w:cs="仿宋"/>
          <w:color w:val="auto"/>
          <w:sz w:val="32"/>
          <w:szCs w:val="32"/>
          <w:highlight w:val="none"/>
          <w:lang w:val="en-US" w:eastAsia="zh-CN"/>
        </w:rPr>
        <w:t>15,974万元，均为专款结余。</w:t>
      </w:r>
    </w:p>
    <w:p>
      <w:pPr>
        <w:keepNext w:val="0"/>
        <w:keepLines w:val="0"/>
        <w:pageBreakBefore w:val="0"/>
        <w:widowControl w:val="0"/>
        <w:kinsoku/>
        <w:wordWrap/>
        <w:overflowPunct/>
        <w:topLinePunct w:val="0"/>
        <w:autoSpaceDE/>
        <w:autoSpaceDN/>
        <w:bidi w:val="0"/>
        <w:adjustRightInd/>
        <w:snapToGrid/>
        <w:spacing w:line="560" w:lineRule="exact"/>
        <w:ind w:firstLine="628" w:firstLineChars="200"/>
        <w:jc w:val="both"/>
        <w:textAlignment w:val="auto"/>
        <w:outlineLvl w:val="9"/>
        <w:rPr>
          <w:rFonts w:ascii="楷体_GB2312" w:hAnsi="楷体" w:eastAsia="楷体_GB2312" w:cs="楷体"/>
          <w:color w:val="auto"/>
          <w:spacing w:val="-3"/>
          <w:sz w:val="32"/>
          <w:szCs w:val="32"/>
          <w:highlight w:val="none"/>
        </w:rPr>
      </w:pPr>
      <w:r>
        <w:rPr>
          <w:rFonts w:hint="eastAsia" w:ascii="楷体_GB2312" w:hAnsi="楷体" w:eastAsia="楷体_GB2312" w:cs="楷体"/>
          <w:color w:val="auto"/>
          <w:spacing w:val="-3"/>
          <w:sz w:val="32"/>
          <w:szCs w:val="32"/>
          <w:highlight w:val="none"/>
        </w:rPr>
        <w:t>（二）政府性基金预算</w:t>
      </w:r>
      <w:r>
        <w:rPr>
          <w:rFonts w:hint="eastAsia" w:ascii="楷体_GB2312" w:hAnsi="仿宋" w:eastAsia="楷体_GB2312" w:cs="仿宋"/>
          <w:color w:val="auto"/>
          <w:sz w:val="32"/>
          <w:szCs w:val="32"/>
          <w:highlight w:val="none"/>
          <w:vertAlign w:val="superscript"/>
        </w:rPr>
        <w:t>④</w:t>
      </w:r>
      <w:r>
        <w:rPr>
          <w:rFonts w:hint="eastAsia" w:ascii="楷体_GB2312" w:hAnsi="楷体" w:eastAsia="楷体_GB2312" w:cs="楷体"/>
          <w:color w:val="auto"/>
          <w:spacing w:val="-3"/>
          <w:sz w:val="32"/>
          <w:szCs w:val="32"/>
          <w:highlight w:val="none"/>
        </w:rPr>
        <w:t>执行情况（附</w:t>
      </w:r>
      <w:r>
        <w:rPr>
          <w:rFonts w:hint="eastAsia" w:ascii="楷体_GB2312" w:hAnsi="楷体" w:eastAsia="楷体_GB2312" w:cs="楷体"/>
          <w:color w:val="auto"/>
          <w:spacing w:val="-3"/>
          <w:sz w:val="32"/>
          <w:szCs w:val="32"/>
          <w:highlight w:val="none"/>
          <w:lang w:eastAsia="zh-CN"/>
        </w:rPr>
        <w:t>件</w:t>
      </w:r>
      <w:r>
        <w:rPr>
          <w:rFonts w:hint="eastAsia" w:ascii="楷体_GB2312" w:hAnsi="楷体" w:eastAsia="楷体_GB2312" w:cs="楷体"/>
          <w:color w:val="auto"/>
          <w:spacing w:val="-3"/>
          <w:sz w:val="32"/>
          <w:szCs w:val="32"/>
          <w:highlight w:val="none"/>
          <w:lang w:val="en-US" w:eastAsia="zh-CN"/>
        </w:rPr>
        <w:t>2</w:t>
      </w:r>
      <w:r>
        <w:rPr>
          <w:rFonts w:hint="eastAsia" w:ascii="楷体_GB2312" w:hAnsi="楷体" w:eastAsia="楷体_GB2312" w:cs="楷体"/>
          <w:color w:val="auto"/>
          <w:spacing w:val="-3"/>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 w:eastAsia="仿宋_GB2312" w:cs="仿宋"/>
          <w:color w:val="auto"/>
          <w:sz w:val="32"/>
          <w:szCs w:val="32"/>
          <w:highlight w:val="none"/>
        </w:rPr>
      </w:pPr>
      <w:r>
        <w:rPr>
          <w:rFonts w:hint="eastAsia" w:ascii="仿宋_GB2312" w:hAnsi="仿宋" w:eastAsia="仿宋_GB2312" w:cs="仿宋"/>
          <w:color w:val="auto"/>
          <w:sz w:val="32"/>
          <w:szCs w:val="32"/>
          <w:highlight w:val="none"/>
          <w:lang w:eastAsia="zh-CN"/>
        </w:rPr>
        <w:t>202</w:t>
      </w:r>
      <w:r>
        <w:rPr>
          <w:rFonts w:hint="eastAsia" w:ascii="仿宋_GB2312" w:hAnsi="仿宋" w:eastAsia="仿宋_GB2312" w:cs="仿宋"/>
          <w:color w:val="auto"/>
          <w:sz w:val="32"/>
          <w:szCs w:val="32"/>
          <w:highlight w:val="none"/>
          <w:lang w:val="en-US" w:eastAsia="zh-CN"/>
        </w:rPr>
        <w:t>1</w:t>
      </w:r>
      <w:r>
        <w:rPr>
          <w:rFonts w:hint="eastAsia" w:ascii="仿宋_GB2312" w:hAnsi="仿宋" w:eastAsia="仿宋_GB2312" w:cs="仿宋"/>
          <w:color w:val="auto"/>
          <w:sz w:val="32"/>
          <w:szCs w:val="32"/>
          <w:highlight w:val="none"/>
        </w:rPr>
        <w:t>年全县政府性基金预算总收入完成</w:t>
      </w:r>
      <w:r>
        <w:rPr>
          <w:rFonts w:hint="eastAsia" w:ascii="仿宋_GB2312" w:hAnsi="仿宋" w:eastAsia="仿宋_GB2312" w:cs="仿宋"/>
          <w:color w:val="auto"/>
          <w:sz w:val="32"/>
          <w:szCs w:val="32"/>
          <w:highlight w:val="none"/>
          <w:lang w:val="en-US" w:eastAsia="zh-CN"/>
        </w:rPr>
        <w:t>154,272</w:t>
      </w:r>
      <w:r>
        <w:rPr>
          <w:rFonts w:hint="eastAsia" w:ascii="仿宋_GB2312" w:hAnsi="仿宋" w:eastAsia="仿宋_GB2312" w:cs="仿宋"/>
          <w:color w:val="auto"/>
          <w:sz w:val="32"/>
          <w:szCs w:val="32"/>
          <w:highlight w:val="none"/>
        </w:rPr>
        <w:t>万元，其中政府性基金本级收入完成</w:t>
      </w:r>
      <w:r>
        <w:rPr>
          <w:rFonts w:hint="eastAsia" w:ascii="仿宋_GB2312" w:hAnsi="仿宋" w:eastAsia="仿宋_GB2312" w:cs="仿宋"/>
          <w:color w:val="auto"/>
          <w:sz w:val="32"/>
          <w:szCs w:val="32"/>
          <w:highlight w:val="none"/>
          <w:lang w:val="en-US" w:eastAsia="zh-CN"/>
        </w:rPr>
        <w:t>69,239</w:t>
      </w:r>
      <w:r>
        <w:rPr>
          <w:rFonts w:hint="eastAsia" w:ascii="仿宋_GB2312" w:hAnsi="仿宋" w:eastAsia="仿宋_GB2312" w:cs="仿宋"/>
          <w:color w:val="auto"/>
          <w:sz w:val="32"/>
          <w:szCs w:val="32"/>
          <w:highlight w:val="none"/>
        </w:rPr>
        <w:t>万元，完成年度预算的</w:t>
      </w:r>
      <w:r>
        <w:rPr>
          <w:rFonts w:hint="eastAsia" w:ascii="仿宋_GB2312" w:hAnsi="仿宋" w:eastAsia="仿宋_GB2312" w:cs="仿宋"/>
          <w:color w:val="auto"/>
          <w:sz w:val="32"/>
          <w:szCs w:val="32"/>
          <w:highlight w:val="none"/>
          <w:lang w:val="en-US" w:eastAsia="zh-CN"/>
        </w:rPr>
        <w:t>100</w:t>
      </w:r>
      <w:r>
        <w:rPr>
          <w:rFonts w:hint="eastAsia" w:ascii="仿宋_GB2312" w:hAnsi="仿宋" w:eastAsia="仿宋_GB2312" w:cs="仿宋"/>
          <w:color w:val="auto"/>
          <w:sz w:val="32"/>
          <w:szCs w:val="32"/>
          <w:highlight w:val="none"/>
        </w:rPr>
        <w:t>%；上级补助收入完成</w:t>
      </w:r>
      <w:r>
        <w:rPr>
          <w:rFonts w:hint="eastAsia" w:ascii="仿宋_GB2312" w:hAnsi="仿宋" w:eastAsia="仿宋_GB2312" w:cs="仿宋"/>
          <w:color w:val="auto"/>
          <w:sz w:val="32"/>
          <w:szCs w:val="32"/>
          <w:highlight w:val="none"/>
          <w:lang w:val="en-US" w:eastAsia="zh-CN"/>
        </w:rPr>
        <w:t>690万</w:t>
      </w:r>
      <w:r>
        <w:rPr>
          <w:rFonts w:hint="eastAsia" w:ascii="仿宋_GB2312" w:hAnsi="仿宋" w:eastAsia="仿宋_GB2312" w:cs="仿宋"/>
          <w:color w:val="auto"/>
          <w:sz w:val="32"/>
          <w:szCs w:val="32"/>
          <w:highlight w:val="none"/>
        </w:rPr>
        <w:t>元；债务转贷收入</w:t>
      </w:r>
      <w:r>
        <w:rPr>
          <w:rFonts w:hint="eastAsia" w:ascii="仿宋_GB2312" w:hAnsi="仿宋" w:eastAsia="仿宋_GB2312" w:cs="仿宋"/>
          <w:color w:val="auto"/>
          <w:sz w:val="32"/>
          <w:szCs w:val="32"/>
          <w:highlight w:val="none"/>
          <w:lang w:val="en-US" w:eastAsia="zh-CN"/>
        </w:rPr>
        <w:t>83,577</w:t>
      </w:r>
      <w:r>
        <w:rPr>
          <w:rFonts w:hint="eastAsia" w:ascii="仿宋_GB2312" w:hAnsi="仿宋" w:eastAsia="仿宋_GB2312" w:cs="仿宋"/>
          <w:color w:val="auto"/>
          <w:sz w:val="32"/>
          <w:szCs w:val="32"/>
          <w:highlight w:val="none"/>
        </w:rPr>
        <w:t>万元；上年结余收入</w:t>
      </w:r>
      <w:r>
        <w:rPr>
          <w:rFonts w:hint="eastAsia" w:ascii="仿宋_GB2312" w:hAnsi="仿宋" w:eastAsia="仿宋_GB2312" w:cs="仿宋"/>
          <w:color w:val="auto"/>
          <w:sz w:val="32"/>
          <w:szCs w:val="32"/>
          <w:highlight w:val="none"/>
          <w:lang w:val="en-US" w:eastAsia="zh-CN"/>
        </w:rPr>
        <w:t>766</w:t>
      </w:r>
      <w:r>
        <w:rPr>
          <w:rFonts w:hint="eastAsia" w:ascii="仿宋_GB2312" w:hAnsi="仿宋" w:eastAsia="仿宋_GB2312" w:cs="仿宋"/>
          <w:color w:val="auto"/>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 w:eastAsia="仿宋_GB2312" w:cs="仿宋"/>
          <w:color w:val="auto"/>
          <w:sz w:val="32"/>
          <w:szCs w:val="32"/>
          <w:highlight w:val="none"/>
          <w:lang w:eastAsia="zh-CN"/>
        </w:rPr>
      </w:pPr>
      <w:r>
        <w:rPr>
          <w:rFonts w:hint="eastAsia" w:ascii="仿宋_GB2312" w:hAnsi="仿宋" w:eastAsia="仿宋_GB2312" w:cs="仿宋"/>
          <w:color w:val="auto"/>
          <w:sz w:val="32"/>
          <w:szCs w:val="32"/>
          <w:highlight w:val="none"/>
          <w:lang w:val="en-US" w:eastAsia="zh-CN"/>
        </w:rPr>
        <w:t>2021年</w:t>
      </w:r>
      <w:r>
        <w:rPr>
          <w:rFonts w:hint="eastAsia" w:ascii="仿宋_GB2312" w:hAnsi="仿宋" w:eastAsia="仿宋_GB2312" w:cs="仿宋"/>
          <w:color w:val="auto"/>
          <w:sz w:val="32"/>
          <w:szCs w:val="32"/>
          <w:highlight w:val="none"/>
        </w:rPr>
        <w:t>全县政府性基金预算支出完成</w:t>
      </w:r>
      <w:r>
        <w:rPr>
          <w:rFonts w:hint="eastAsia" w:ascii="仿宋_GB2312" w:hAnsi="仿宋" w:eastAsia="仿宋_GB2312" w:cs="仿宋"/>
          <w:color w:val="auto"/>
          <w:sz w:val="32"/>
          <w:szCs w:val="32"/>
          <w:highlight w:val="none"/>
          <w:lang w:val="en-US" w:eastAsia="zh-CN"/>
        </w:rPr>
        <w:t>154,272</w:t>
      </w:r>
      <w:r>
        <w:rPr>
          <w:rFonts w:hint="eastAsia" w:ascii="仿宋_GB2312" w:hAnsi="仿宋" w:eastAsia="仿宋_GB2312" w:cs="仿宋"/>
          <w:color w:val="auto"/>
          <w:sz w:val="32"/>
          <w:szCs w:val="32"/>
          <w:highlight w:val="none"/>
        </w:rPr>
        <w:t>万元，其中</w:t>
      </w:r>
      <w:r>
        <w:rPr>
          <w:rFonts w:hint="eastAsia" w:ascii="仿宋_GB2312" w:hAnsi="仿宋" w:eastAsia="仿宋_GB2312" w:cs="仿宋"/>
          <w:color w:val="auto"/>
          <w:sz w:val="32"/>
          <w:szCs w:val="32"/>
          <w:highlight w:val="none"/>
          <w:lang w:eastAsia="zh-CN"/>
        </w:rPr>
        <w:t>：</w:t>
      </w:r>
      <w:r>
        <w:rPr>
          <w:rFonts w:hint="eastAsia" w:ascii="仿宋_GB2312" w:hAnsi="仿宋" w:eastAsia="仿宋_GB2312" w:cs="仿宋"/>
          <w:color w:val="auto"/>
          <w:sz w:val="32"/>
          <w:szCs w:val="32"/>
          <w:highlight w:val="none"/>
        </w:rPr>
        <w:t>政府性基金本级支出</w:t>
      </w:r>
      <w:r>
        <w:rPr>
          <w:rFonts w:hint="eastAsia" w:ascii="仿宋_GB2312" w:hAnsi="仿宋" w:eastAsia="仿宋_GB2312" w:cs="仿宋"/>
          <w:color w:val="auto"/>
          <w:sz w:val="32"/>
          <w:szCs w:val="32"/>
          <w:highlight w:val="none"/>
          <w:lang w:val="en-US" w:eastAsia="zh-CN"/>
        </w:rPr>
        <w:t>146,797</w:t>
      </w:r>
      <w:r>
        <w:rPr>
          <w:rFonts w:hint="eastAsia" w:ascii="仿宋_GB2312" w:hAnsi="仿宋" w:eastAsia="仿宋_GB2312" w:cs="仿宋"/>
          <w:color w:val="auto"/>
          <w:sz w:val="32"/>
          <w:szCs w:val="32"/>
          <w:highlight w:val="none"/>
        </w:rPr>
        <w:t>万元，</w:t>
      </w:r>
      <w:r>
        <w:rPr>
          <w:rFonts w:hint="eastAsia" w:ascii="仿宋_GB2312" w:hAnsi="仿宋" w:eastAsia="仿宋_GB2312" w:cs="仿宋"/>
          <w:color w:val="auto"/>
          <w:sz w:val="32"/>
          <w:szCs w:val="32"/>
          <w:highlight w:val="none"/>
          <w:lang w:eastAsia="zh-CN"/>
        </w:rPr>
        <w:t>债务还本支出</w:t>
      </w:r>
      <w:r>
        <w:rPr>
          <w:rFonts w:hint="eastAsia" w:ascii="仿宋_GB2312" w:hAnsi="仿宋" w:eastAsia="仿宋_GB2312" w:cs="仿宋"/>
          <w:color w:val="auto"/>
          <w:sz w:val="32"/>
          <w:szCs w:val="32"/>
          <w:highlight w:val="none"/>
          <w:lang w:val="en-US" w:eastAsia="zh-CN"/>
        </w:rPr>
        <w:t>1,577万元，调出资金3,875万元</w:t>
      </w:r>
      <w:r>
        <w:rPr>
          <w:rFonts w:hint="eastAsia" w:ascii="仿宋_GB2312" w:hAnsi="仿宋" w:eastAsia="仿宋_GB2312" w:cs="仿宋"/>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 w:eastAsia="仿宋_GB2312" w:cs="仿宋"/>
          <w:color w:val="auto"/>
          <w:sz w:val="32"/>
          <w:szCs w:val="32"/>
          <w:highlight w:val="none"/>
        </w:rPr>
      </w:pPr>
      <w:r>
        <w:rPr>
          <w:rFonts w:hint="eastAsia" w:ascii="仿宋_GB2312" w:hAnsi="仿宋" w:eastAsia="仿宋_GB2312" w:cs="仿宋"/>
          <w:color w:val="auto"/>
          <w:sz w:val="32"/>
          <w:szCs w:val="32"/>
          <w:highlight w:val="none"/>
        </w:rPr>
        <w:t>收支相抵，年终结余</w:t>
      </w:r>
      <w:r>
        <w:rPr>
          <w:rFonts w:hint="eastAsia" w:ascii="仿宋_GB2312" w:hAnsi="仿宋" w:eastAsia="仿宋_GB2312" w:cs="仿宋"/>
          <w:color w:val="auto"/>
          <w:sz w:val="32"/>
          <w:szCs w:val="32"/>
          <w:highlight w:val="none"/>
          <w:lang w:val="en-US" w:eastAsia="zh-CN"/>
        </w:rPr>
        <w:t>2,023</w:t>
      </w:r>
      <w:r>
        <w:rPr>
          <w:rFonts w:hint="eastAsia" w:ascii="仿宋_GB2312" w:hAnsi="仿宋" w:eastAsia="仿宋_GB2312" w:cs="仿宋"/>
          <w:color w:val="auto"/>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line="560" w:lineRule="exact"/>
        <w:ind w:firstLine="628" w:firstLineChars="200"/>
        <w:jc w:val="both"/>
        <w:textAlignment w:val="auto"/>
        <w:outlineLvl w:val="9"/>
        <w:rPr>
          <w:rFonts w:ascii="楷体_GB2312" w:hAnsi="黑体" w:eastAsia="楷体_GB2312" w:cs="黑体"/>
          <w:color w:val="auto"/>
          <w:spacing w:val="-3"/>
          <w:sz w:val="32"/>
          <w:szCs w:val="32"/>
          <w:highlight w:val="none"/>
        </w:rPr>
      </w:pPr>
      <w:r>
        <w:rPr>
          <w:rFonts w:hint="eastAsia" w:ascii="楷体_GB2312" w:hAnsi="楷体" w:eastAsia="楷体_GB2312" w:cs="楷体"/>
          <w:color w:val="auto"/>
          <w:spacing w:val="-3"/>
          <w:sz w:val="32"/>
          <w:szCs w:val="32"/>
          <w:highlight w:val="none"/>
        </w:rPr>
        <w:t>（三）国有资本经营预算</w:t>
      </w:r>
      <w:r>
        <w:rPr>
          <w:rFonts w:hint="eastAsia" w:ascii="楷体_GB2312" w:hAnsi="仿宋" w:eastAsia="楷体_GB2312" w:cs="仿宋"/>
          <w:color w:val="auto"/>
          <w:spacing w:val="-6"/>
          <w:sz w:val="32"/>
          <w:szCs w:val="32"/>
          <w:highlight w:val="none"/>
          <w:vertAlign w:val="superscript"/>
        </w:rPr>
        <w:t>⑤</w:t>
      </w:r>
      <w:r>
        <w:rPr>
          <w:rFonts w:hint="eastAsia" w:ascii="楷体_GB2312" w:hAnsi="楷体" w:eastAsia="楷体_GB2312" w:cs="楷体"/>
          <w:color w:val="auto"/>
          <w:spacing w:val="-3"/>
          <w:sz w:val="32"/>
          <w:szCs w:val="32"/>
          <w:highlight w:val="none"/>
        </w:rPr>
        <w:t>执行情况（附</w:t>
      </w:r>
      <w:r>
        <w:rPr>
          <w:rFonts w:hint="eastAsia" w:ascii="楷体_GB2312" w:hAnsi="楷体" w:eastAsia="楷体_GB2312" w:cs="楷体"/>
          <w:color w:val="auto"/>
          <w:spacing w:val="-3"/>
          <w:sz w:val="32"/>
          <w:szCs w:val="32"/>
          <w:highlight w:val="none"/>
          <w:lang w:eastAsia="zh-CN"/>
        </w:rPr>
        <w:t>件</w:t>
      </w:r>
      <w:r>
        <w:rPr>
          <w:rFonts w:hint="eastAsia" w:ascii="楷体_GB2312" w:hAnsi="楷体" w:eastAsia="楷体_GB2312" w:cs="楷体"/>
          <w:color w:val="auto"/>
          <w:spacing w:val="-3"/>
          <w:sz w:val="32"/>
          <w:szCs w:val="32"/>
          <w:highlight w:val="none"/>
          <w:lang w:val="en-US" w:eastAsia="zh-CN"/>
        </w:rPr>
        <w:t>3</w:t>
      </w:r>
      <w:r>
        <w:rPr>
          <w:rFonts w:hint="eastAsia" w:ascii="楷体_GB2312" w:hAnsi="楷体" w:eastAsia="楷体_GB2312" w:cs="楷体"/>
          <w:color w:val="auto"/>
          <w:spacing w:val="-3"/>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 w:eastAsia="仿宋_GB2312" w:cs="仿宋"/>
          <w:color w:val="auto"/>
          <w:sz w:val="32"/>
          <w:szCs w:val="32"/>
          <w:highlight w:val="none"/>
          <w:lang w:eastAsia="zh-CN"/>
        </w:rPr>
      </w:pPr>
      <w:r>
        <w:rPr>
          <w:rFonts w:hint="eastAsia" w:ascii="仿宋_GB2312" w:hAnsi="仿宋" w:eastAsia="仿宋_GB2312" w:cs="仿宋"/>
          <w:color w:val="auto"/>
          <w:sz w:val="32"/>
          <w:szCs w:val="32"/>
          <w:highlight w:val="none"/>
          <w:lang w:eastAsia="zh-CN"/>
        </w:rPr>
        <w:t>202</w:t>
      </w:r>
      <w:r>
        <w:rPr>
          <w:rFonts w:hint="eastAsia" w:ascii="仿宋_GB2312" w:hAnsi="仿宋" w:eastAsia="仿宋_GB2312" w:cs="仿宋"/>
          <w:color w:val="auto"/>
          <w:sz w:val="32"/>
          <w:szCs w:val="32"/>
          <w:highlight w:val="none"/>
          <w:lang w:val="en-US" w:eastAsia="zh-CN"/>
        </w:rPr>
        <w:t>1</w:t>
      </w:r>
      <w:r>
        <w:rPr>
          <w:rFonts w:hint="eastAsia" w:ascii="仿宋_GB2312" w:hAnsi="仿宋" w:eastAsia="仿宋_GB2312" w:cs="仿宋"/>
          <w:color w:val="auto"/>
          <w:sz w:val="32"/>
          <w:szCs w:val="32"/>
          <w:highlight w:val="none"/>
        </w:rPr>
        <w:t>年全县国有资本经营预算收入完成</w:t>
      </w:r>
      <w:r>
        <w:rPr>
          <w:rFonts w:hint="eastAsia" w:ascii="仿宋_GB2312" w:hAnsi="仿宋" w:eastAsia="仿宋_GB2312" w:cs="仿宋"/>
          <w:color w:val="auto"/>
          <w:sz w:val="32"/>
          <w:szCs w:val="32"/>
          <w:highlight w:val="none"/>
          <w:lang w:val="en-US" w:eastAsia="zh-CN"/>
        </w:rPr>
        <w:t>2,238</w:t>
      </w:r>
      <w:r>
        <w:rPr>
          <w:rFonts w:hint="eastAsia" w:ascii="仿宋_GB2312" w:hAnsi="仿宋" w:eastAsia="仿宋_GB2312" w:cs="仿宋"/>
          <w:color w:val="auto"/>
          <w:sz w:val="32"/>
          <w:szCs w:val="32"/>
          <w:highlight w:val="none"/>
        </w:rPr>
        <w:t>万元</w:t>
      </w:r>
      <w:r>
        <w:rPr>
          <w:rFonts w:hint="eastAsia" w:ascii="仿宋_GB2312" w:hAnsi="仿宋" w:eastAsia="仿宋_GB2312" w:cs="仿宋"/>
          <w:color w:val="auto"/>
          <w:sz w:val="32"/>
          <w:szCs w:val="32"/>
          <w:highlight w:val="none"/>
          <w:lang w:val="en-US" w:eastAsia="zh-CN"/>
        </w:rPr>
        <w:t>,</w:t>
      </w:r>
      <w:r>
        <w:rPr>
          <w:rFonts w:hint="eastAsia" w:ascii="仿宋_GB2312" w:hAnsi="仿宋" w:eastAsia="仿宋_GB2312" w:cs="仿宋"/>
          <w:color w:val="auto"/>
          <w:spacing w:val="-3"/>
          <w:sz w:val="32"/>
          <w:szCs w:val="32"/>
          <w:highlight w:val="none"/>
        </w:rPr>
        <w:t>完成年度预算的</w:t>
      </w:r>
      <w:r>
        <w:rPr>
          <w:rFonts w:hint="eastAsia" w:ascii="仿宋_GB2312" w:hAnsi="仿宋" w:eastAsia="仿宋_GB2312" w:cs="仿宋"/>
          <w:color w:val="auto"/>
          <w:spacing w:val="-3"/>
          <w:sz w:val="32"/>
          <w:szCs w:val="32"/>
          <w:highlight w:val="none"/>
          <w:lang w:val="en-US" w:eastAsia="zh-CN"/>
        </w:rPr>
        <w:t>100%</w:t>
      </w:r>
      <w:r>
        <w:rPr>
          <w:rFonts w:hint="eastAsia" w:ascii="仿宋_GB2312" w:hAnsi="仿宋" w:eastAsia="仿宋_GB2312" w:cs="仿宋"/>
          <w:color w:val="auto"/>
          <w:spacing w:val="-3"/>
          <w:sz w:val="32"/>
          <w:szCs w:val="32"/>
          <w:highlight w:val="none"/>
        </w:rPr>
        <w:t>。</w:t>
      </w:r>
      <w:r>
        <w:rPr>
          <w:rFonts w:hint="eastAsia" w:ascii="仿宋_GB2312" w:hAnsi="仿宋" w:eastAsia="仿宋_GB2312" w:cs="仿宋"/>
          <w:color w:val="auto"/>
          <w:sz w:val="32"/>
          <w:szCs w:val="32"/>
          <w:highlight w:val="none"/>
        </w:rPr>
        <w:t>国有资本经营预算支出完成</w:t>
      </w:r>
      <w:r>
        <w:rPr>
          <w:rFonts w:hint="eastAsia" w:ascii="仿宋_GB2312" w:hAnsi="仿宋" w:eastAsia="仿宋_GB2312" w:cs="仿宋"/>
          <w:color w:val="auto"/>
          <w:sz w:val="32"/>
          <w:szCs w:val="32"/>
          <w:highlight w:val="none"/>
          <w:lang w:val="en-US" w:eastAsia="zh-CN"/>
        </w:rPr>
        <w:t>1,339万元，</w:t>
      </w:r>
      <w:r>
        <w:rPr>
          <w:rFonts w:hint="eastAsia" w:ascii="仿宋_GB2312" w:hAnsi="仿宋" w:eastAsia="仿宋_GB2312" w:cs="仿宋"/>
          <w:color w:val="auto"/>
          <w:sz w:val="32"/>
          <w:szCs w:val="32"/>
          <w:highlight w:val="none"/>
        </w:rPr>
        <w:t>调出资金</w:t>
      </w:r>
      <w:r>
        <w:rPr>
          <w:rFonts w:hint="eastAsia" w:ascii="仿宋_GB2312" w:hAnsi="仿宋" w:eastAsia="仿宋_GB2312" w:cs="仿宋"/>
          <w:color w:val="auto"/>
          <w:sz w:val="32"/>
          <w:szCs w:val="32"/>
          <w:highlight w:val="none"/>
          <w:lang w:val="en-US" w:eastAsia="zh-CN"/>
        </w:rPr>
        <w:t>899</w:t>
      </w:r>
      <w:r>
        <w:rPr>
          <w:rFonts w:hint="eastAsia" w:ascii="仿宋_GB2312" w:hAnsi="仿宋" w:eastAsia="仿宋_GB2312" w:cs="仿宋"/>
          <w:color w:val="auto"/>
          <w:sz w:val="32"/>
          <w:szCs w:val="32"/>
          <w:highlight w:val="none"/>
        </w:rPr>
        <w:t>万元</w:t>
      </w:r>
      <w:r>
        <w:rPr>
          <w:rFonts w:hint="eastAsia" w:ascii="仿宋_GB2312" w:hAnsi="仿宋" w:eastAsia="仿宋_GB2312" w:cs="仿宋"/>
          <w:color w:val="auto"/>
          <w:sz w:val="32"/>
          <w:szCs w:val="32"/>
          <w:highlight w:val="none"/>
          <w:lang w:eastAsia="zh-CN"/>
        </w:rPr>
        <w:t>。</w:t>
      </w:r>
      <w:r>
        <w:rPr>
          <w:rFonts w:hint="eastAsia" w:ascii="仿宋_GB2312" w:hAnsi="仿宋" w:eastAsia="仿宋_GB2312" w:cs="仿宋"/>
          <w:color w:val="auto"/>
          <w:sz w:val="32"/>
          <w:szCs w:val="32"/>
          <w:highlight w:val="none"/>
        </w:rPr>
        <w:t>收支相抵，年终</w:t>
      </w:r>
      <w:r>
        <w:rPr>
          <w:rFonts w:hint="eastAsia" w:ascii="仿宋_GB2312" w:hAnsi="仿宋" w:eastAsia="仿宋_GB2312" w:cs="仿宋"/>
          <w:color w:val="auto"/>
          <w:sz w:val="32"/>
          <w:szCs w:val="32"/>
          <w:highlight w:val="none"/>
          <w:lang w:eastAsia="zh-CN"/>
        </w:rPr>
        <w:t>无</w:t>
      </w:r>
      <w:r>
        <w:rPr>
          <w:rFonts w:hint="eastAsia" w:ascii="仿宋_GB2312" w:hAnsi="仿宋" w:eastAsia="仿宋_GB2312" w:cs="仿宋"/>
          <w:color w:val="auto"/>
          <w:sz w:val="32"/>
          <w:szCs w:val="32"/>
          <w:highlight w:val="none"/>
        </w:rPr>
        <w:t>结余。</w:t>
      </w:r>
    </w:p>
    <w:p>
      <w:pPr>
        <w:keepNext w:val="0"/>
        <w:keepLines w:val="0"/>
        <w:pageBreakBefore w:val="0"/>
        <w:widowControl w:val="0"/>
        <w:kinsoku/>
        <w:wordWrap/>
        <w:overflowPunct/>
        <w:topLinePunct w:val="0"/>
        <w:autoSpaceDE/>
        <w:autoSpaceDN/>
        <w:bidi w:val="0"/>
        <w:adjustRightInd/>
        <w:snapToGrid/>
        <w:spacing w:line="560" w:lineRule="exact"/>
        <w:ind w:firstLine="628" w:firstLineChars="200"/>
        <w:jc w:val="both"/>
        <w:textAlignment w:val="auto"/>
        <w:outlineLvl w:val="9"/>
        <w:rPr>
          <w:rFonts w:ascii="楷体_GB2312" w:hAnsi="黑体" w:eastAsia="楷体_GB2312" w:cs="黑体"/>
          <w:color w:val="auto"/>
          <w:spacing w:val="-3"/>
          <w:sz w:val="32"/>
          <w:szCs w:val="32"/>
          <w:highlight w:val="none"/>
        </w:rPr>
      </w:pPr>
      <w:r>
        <w:rPr>
          <w:rFonts w:hint="eastAsia" w:ascii="楷体_GB2312" w:hAnsi="楷体" w:eastAsia="楷体_GB2312" w:cs="楷体"/>
          <w:color w:val="auto"/>
          <w:spacing w:val="-3"/>
          <w:sz w:val="32"/>
          <w:szCs w:val="32"/>
          <w:highlight w:val="none"/>
        </w:rPr>
        <w:t>（四）社会保险基金预算</w:t>
      </w:r>
      <w:r>
        <w:rPr>
          <w:rFonts w:hint="eastAsia" w:ascii="楷体_GB2312" w:hAnsi="仿宋" w:eastAsia="楷体_GB2312" w:cs="仿宋"/>
          <w:color w:val="auto"/>
          <w:spacing w:val="-6"/>
          <w:sz w:val="32"/>
          <w:szCs w:val="32"/>
          <w:highlight w:val="none"/>
          <w:vertAlign w:val="superscript"/>
        </w:rPr>
        <w:t>⑥</w:t>
      </w:r>
      <w:r>
        <w:rPr>
          <w:rFonts w:hint="eastAsia" w:ascii="楷体_GB2312" w:hAnsi="楷体" w:eastAsia="楷体_GB2312" w:cs="楷体"/>
          <w:color w:val="auto"/>
          <w:spacing w:val="-3"/>
          <w:sz w:val="32"/>
          <w:szCs w:val="32"/>
          <w:highlight w:val="none"/>
        </w:rPr>
        <w:t>执行情况（附</w:t>
      </w:r>
      <w:r>
        <w:rPr>
          <w:rFonts w:hint="eastAsia" w:ascii="楷体_GB2312" w:hAnsi="楷体" w:eastAsia="楷体_GB2312" w:cs="楷体"/>
          <w:color w:val="auto"/>
          <w:spacing w:val="-3"/>
          <w:sz w:val="32"/>
          <w:szCs w:val="32"/>
          <w:highlight w:val="none"/>
          <w:lang w:eastAsia="zh-CN"/>
        </w:rPr>
        <w:t>件</w:t>
      </w:r>
      <w:r>
        <w:rPr>
          <w:rFonts w:hint="eastAsia" w:ascii="楷体_GB2312" w:hAnsi="楷体" w:eastAsia="楷体_GB2312" w:cs="楷体"/>
          <w:color w:val="auto"/>
          <w:spacing w:val="-3"/>
          <w:sz w:val="32"/>
          <w:szCs w:val="32"/>
          <w:highlight w:val="none"/>
          <w:lang w:val="en-US" w:eastAsia="zh-CN"/>
        </w:rPr>
        <w:t>4</w:t>
      </w:r>
      <w:r>
        <w:rPr>
          <w:rFonts w:hint="eastAsia" w:ascii="楷体_GB2312" w:hAnsi="楷体" w:eastAsia="楷体_GB2312" w:cs="楷体"/>
          <w:color w:val="auto"/>
          <w:spacing w:val="-3"/>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28" w:firstLineChars="200"/>
        <w:jc w:val="both"/>
        <w:textAlignment w:val="auto"/>
        <w:outlineLvl w:val="9"/>
        <w:rPr>
          <w:rFonts w:hint="eastAsia" w:ascii="仿宋_GB2312" w:hAnsi="仿宋" w:eastAsia="仿宋_GB2312" w:cs="仿宋"/>
          <w:color w:val="auto"/>
          <w:spacing w:val="-3"/>
          <w:sz w:val="32"/>
          <w:szCs w:val="32"/>
          <w:highlight w:val="none"/>
        </w:rPr>
      </w:pPr>
      <w:r>
        <w:rPr>
          <w:rFonts w:hint="eastAsia" w:ascii="仿宋_GB2312" w:hAnsi="仿宋" w:eastAsia="仿宋_GB2312" w:cs="仿宋"/>
          <w:color w:val="auto"/>
          <w:spacing w:val="-3"/>
          <w:sz w:val="32"/>
          <w:szCs w:val="32"/>
          <w:highlight w:val="none"/>
          <w:lang w:eastAsia="zh-CN"/>
        </w:rPr>
        <w:t>202</w:t>
      </w:r>
      <w:r>
        <w:rPr>
          <w:rFonts w:hint="eastAsia" w:ascii="仿宋_GB2312" w:hAnsi="仿宋" w:eastAsia="仿宋_GB2312" w:cs="仿宋"/>
          <w:color w:val="auto"/>
          <w:spacing w:val="-3"/>
          <w:sz w:val="32"/>
          <w:szCs w:val="32"/>
          <w:highlight w:val="none"/>
          <w:lang w:val="en-US" w:eastAsia="zh-CN"/>
        </w:rPr>
        <w:t>1</w:t>
      </w:r>
      <w:r>
        <w:rPr>
          <w:rFonts w:hint="eastAsia" w:ascii="仿宋_GB2312" w:hAnsi="仿宋" w:eastAsia="仿宋_GB2312" w:cs="仿宋"/>
          <w:color w:val="auto"/>
          <w:spacing w:val="-3"/>
          <w:sz w:val="32"/>
          <w:szCs w:val="32"/>
          <w:highlight w:val="none"/>
        </w:rPr>
        <w:t>年社会保险基金总收入完成</w:t>
      </w:r>
      <w:r>
        <w:rPr>
          <w:rFonts w:hint="eastAsia" w:ascii="仿宋_GB2312" w:hAnsi="仿宋" w:eastAsia="仿宋_GB2312" w:cs="仿宋"/>
          <w:color w:val="auto"/>
          <w:spacing w:val="-3"/>
          <w:sz w:val="32"/>
          <w:szCs w:val="32"/>
          <w:highlight w:val="none"/>
          <w:lang w:val="en-US" w:eastAsia="zh-CN"/>
        </w:rPr>
        <w:t>50,337</w:t>
      </w:r>
      <w:r>
        <w:rPr>
          <w:rFonts w:hint="eastAsia" w:ascii="仿宋_GB2312" w:hAnsi="仿宋" w:eastAsia="仿宋_GB2312" w:cs="仿宋"/>
          <w:color w:val="auto"/>
          <w:spacing w:val="-3"/>
          <w:sz w:val="32"/>
          <w:szCs w:val="32"/>
          <w:highlight w:val="none"/>
        </w:rPr>
        <w:t>万元，完成年度预算的</w:t>
      </w:r>
      <w:r>
        <w:rPr>
          <w:rFonts w:hint="eastAsia" w:ascii="仿宋_GB2312" w:hAnsi="仿宋" w:eastAsia="仿宋_GB2312" w:cs="仿宋"/>
          <w:color w:val="auto"/>
          <w:spacing w:val="-3"/>
          <w:sz w:val="32"/>
          <w:szCs w:val="32"/>
          <w:highlight w:val="none"/>
          <w:lang w:val="en-US" w:eastAsia="zh-CN"/>
        </w:rPr>
        <w:t>79%</w:t>
      </w:r>
      <w:r>
        <w:rPr>
          <w:rFonts w:hint="eastAsia" w:ascii="仿宋_GB2312" w:hAnsi="仿宋" w:eastAsia="仿宋_GB2312" w:cs="仿宋"/>
          <w:color w:val="auto"/>
          <w:spacing w:val="-3"/>
          <w:sz w:val="32"/>
          <w:szCs w:val="32"/>
          <w:highlight w:val="none"/>
        </w:rPr>
        <w:t>。上年结余收入</w:t>
      </w:r>
      <w:r>
        <w:rPr>
          <w:rFonts w:hint="eastAsia" w:ascii="仿宋_GB2312" w:hAnsi="仿宋" w:eastAsia="仿宋_GB2312" w:cs="仿宋"/>
          <w:color w:val="auto"/>
          <w:spacing w:val="-3"/>
          <w:sz w:val="32"/>
          <w:szCs w:val="32"/>
          <w:highlight w:val="none"/>
          <w:lang w:val="en-US" w:eastAsia="zh-CN"/>
        </w:rPr>
        <w:t>25,459</w:t>
      </w:r>
      <w:r>
        <w:rPr>
          <w:rFonts w:hint="eastAsia" w:ascii="仿宋_GB2312" w:hAnsi="仿宋" w:eastAsia="仿宋_GB2312" w:cs="仿宋"/>
          <w:color w:val="auto"/>
          <w:spacing w:val="-3"/>
          <w:sz w:val="32"/>
          <w:szCs w:val="32"/>
          <w:highlight w:val="none"/>
        </w:rPr>
        <w:t>万元。</w:t>
      </w:r>
      <w:r>
        <w:rPr>
          <w:rFonts w:hint="eastAsia" w:ascii="仿宋_GB2312" w:hAnsi="仿宋" w:eastAsia="仿宋_GB2312" w:cs="仿宋"/>
          <w:color w:val="auto"/>
          <w:spacing w:val="-3"/>
          <w:sz w:val="32"/>
          <w:szCs w:val="32"/>
          <w:highlight w:val="none"/>
          <w:lang w:eastAsia="zh-CN"/>
        </w:rPr>
        <w:t>202</w:t>
      </w:r>
      <w:r>
        <w:rPr>
          <w:rFonts w:hint="eastAsia" w:ascii="仿宋_GB2312" w:hAnsi="仿宋" w:eastAsia="仿宋_GB2312" w:cs="仿宋"/>
          <w:color w:val="auto"/>
          <w:spacing w:val="-3"/>
          <w:sz w:val="32"/>
          <w:szCs w:val="32"/>
          <w:highlight w:val="none"/>
          <w:lang w:val="en-US" w:eastAsia="zh-CN"/>
        </w:rPr>
        <w:t>1</w:t>
      </w:r>
      <w:r>
        <w:rPr>
          <w:rFonts w:hint="eastAsia" w:ascii="仿宋_GB2312" w:hAnsi="仿宋" w:eastAsia="仿宋_GB2312" w:cs="仿宋"/>
          <w:color w:val="auto"/>
          <w:spacing w:val="-3"/>
          <w:sz w:val="32"/>
          <w:szCs w:val="32"/>
          <w:highlight w:val="none"/>
        </w:rPr>
        <w:t>年社会保险基金总支出完成</w:t>
      </w:r>
      <w:r>
        <w:rPr>
          <w:rFonts w:hint="eastAsia" w:ascii="仿宋_GB2312" w:hAnsi="仿宋" w:eastAsia="仿宋_GB2312" w:cs="仿宋"/>
          <w:color w:val="auto"/>
          <w:spacing w:val="-3"/>
          <w:sz w:val="32"/>
          <w:szCs w:val="32"/>
          <w:highlight w:val="none"/>
          <w:lang w:val="en-US" w:eastAsia="zh-CN"/>
        </w:rPr>
        <w:t>49,124</w:t>
      </w:r>
      <w:r>
        <w:rPr>
          <w:rFonts w:hint="eastAsia" w:ascii="仿宋_GB2312" w:hAnsi="仿宋" w:eastAsia="仿宋_GB2312" w:cs="仿宋"/>
          <w:color w:val="auto"/>
          <w:spacing w:val="-3"/>
          <w:sz w:val="32"/>
          <w:szCs w:val="32"/>
          <w:highlight w:val="none"/>
        </w:rPr>
        <w:t>万元，完成年度预算的</w:t>
      </w:r>
      <w:r>
        <w:rPr>
          <w:rFonts w:hint="eastAsia" w:ascii="仿宋_GB2312" w:hAnsi="仿宋" w:eastAsia="仿宋_GB2312" w:cs="仿宋"/>
          <w:color w:val="auto"/>
          <w:spacing w:val="-3"/>
          <w:sz w:val="32"/>
          <w:szCs w:val="32"/>
          <w:highlight w:val="none"/>
          <w:lang w:val="en-US" w:eastAsia="zh-CN"/>
        </w:rPr>
        <w:t>79%</w:t>
      </w:r>
      <w:r>
        <w:rPr>
          <w:rFonts w:hint="eastAsia" w:ascii="仿宋_GB2312" w:hAnsi="仿宋" w:eastAsia="仿宋_GB2312" w:cs="仿宋"/>
          <w:color w:val="auto"/>
          <w:spacing w:val="-3"/>
          <w:sz w:val="32"/>
          <w:szCs w:val="32"/>
          <w:highlight w:val="none"/>
        </w:rPr>
        <w:t>。</w:t>
      </w:r>
      <w:r>
        <w:rPr>
          <w:rFonts w:hint="eastAsia" w:ascii="仿宋_GB2312" w:hAnsi="仿宋" w:eastAsia="仿宋_GB2312" w:cs="仿宋"/>
          <w:color w:val="auto"/>
          <w:spacing w:val="-3"/>
          <w:sz w:val="32"/>
          <w:szCs w:val="32"/>
          <w:highlight w:val="none"/>
          <w:lang w:eastAsia="zh-CN"/>
        </w:rPr>
        <w:t>202</w:t>
      </w:r>
      <w:r>
        <w:rPr>
          <w:rFonts w:hint="eastAsia" w:ascii="仿宋_GB2312" w:hAnsi="仿宋" w:eastAsia="仿宋_GB2312" w:cs="仿宋"/>
          <w:color w:val="auto"/>
          <w:spacing w:val="-3"/>
          <w:sz w:val="32"/>
          <w:szCs w:val="32"/>
          <w:highlight w:val="none"/>
          <w:lang w:val="en-US" w:eastAsia="zh-CN"/>
        </w:rPr>
        <w:t>1</w:t>
      </w:r>
      <w:r>
        <w:rPr>
          <w:rFonts w:hint="eastAsia" w:ascii="仿宋_GB2312" w:hAnsi="仿宋" w:eastAsia="仿宋_GB2312" w:cs="仿宋"/>
          <w:color w:val="auto"/>
          <w:spacing w:val="-3"/>
          <w:sz w:val="32"/>
          <w:szCs w:val="32"/>
          <w:highlight w:val="none"/>
        </w:rPr>
        <w:t>年社会保险基金当年收支结余</w:t>
      </w:r>
      <w:r>
        <w:rPr>
          <w:rFonts w:hint="eastAsia" w:ascii="仿宋_GB2312" w:hAnsi="仿宋" w:eastAsia="仿宋_GB2312" w:cs="仿宋"/>
          <w:color w:val="auto"/>
          <w:spacing w:val="-3"/>
          <w:sz w:val="32"/>
          <w:szCs w:val="32"/>
          <w:highlight w:val="none"/>
          <w:lang w:val="en-US" w:eastAsia="zh-CN"/>
        </w:rPr>
        <w:t>3,246</w:t>
      </w:r>
      <w:r>
        <w:rPr>
          <w:rFonts w:hint="eastAsia" w:ascii="仿宋_GB2312" w:hAnsi="仿宋" w:eastAsia="仿宋_GB2312" w:cs="仿宋"/>
          <w:color w:val="auto"/>
          <w:spacing w:val="-3"/>
          <w:sz w:val="32"/>
          <w:szCs w:val="32"/>
          <w:highlight w:val="none"/>
        </w:rPr>
        <w:t>万元，滚存结余</w:t>
      </w:r>
      <w:r>
        <w:rPr>
          <w:rFonts w:hint="eastAsia" w:ascii="仿宋_GB2312" w:hAnsi="仿宋" w:eastAsia="仿宋_GB2312" w:cs="仿宋"/>
          <w:color w:val="auto"/>
          <w:spacing w:val="-3"/>
          <w:sz w:val="32"/>
          <w:szCs w:val="32"/>
          <w:highlight w:val="none"/>
          <w:lang w:val="en-US" w:eastAsia="zh-CN"/>
        </w:rPr>
        <w:t>4,426</w:t>
      </w:r>
      <w:r>
        <w:rPr>
          <w:rFonts w:hint="eastAsia" w:ascii="仿宋_GB2312" w:hAnsi="仿宋" w:eastAsia="仿宋_GB2312" w:cs="仿宋"/>
          <w:color w:val="auto"/>
          <w:spacing w:val="-3"/>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line="560" w:lineRule="exact"/>
        <w:ind w:firstLine="628" w:firstLineChars="200"/>
        <w:jc w:val="both"/>
        <w:textAlignment w:val="auto"/>
        <w:outlineLvl w:val="9"/>
        <w:rPr>
          <w:rFonts w:hint="eastAsia" w:ascii="楷体_GB2312" w:hAnsi="楷体" w:eastAsia="楷体_GB2312" w:cs="楷体"/>
          <w:color w:val="auto"/>
          <w:spacing w:val="-3"/>
          <w:sz w:val="32"/>
          <w:szCs w:val="32"/>
          <w:highlight w:val="none"/>
        </w:rPr>
      </w:pPr>
      <w:r>
        <w:rPr>
          <w:rFonts w:hint="eastAsia" w:ascii="楷体_GB2312" w:hAnsi="楷体" w:eastAsia="楷体_GB2312" w:cs="楷体"/>
          <w:color w:val="auto"/>
          <w:spacing w:val="-3"/>
          <w:sz w:val="32"/>
          <w:szCs w:val="32"/>
          <w:highlight w:val="none"/>
        </w:rPr>
        <w:t>（五）政府债务管理情况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 w:eastAsia="仿宋_GB2312" w:cs="仿宋"/>
          <w:color w:val="auto"/>
          <w:sz w:val="32"/>
          <w:szCs w:val="32"/>
          <w:highlight w:val="none"/>
          <w:lang w:val="en-US" w:eastAsia="zh-CN"/>
        </w:rPr>
      </w:pPr>
      <w:r>
        <w:rPr>
          <w:rFonts w:hint="eastAsia" w:ascii="仿宋_GB2312" w:hAnsi="仿宋" w:eastAsia="仿宋_GB2312" w:cs="仿宋"/>
          <w:color w:val="auto"/>
          <w:sz w:val="32"/>
          <w:szCs w:val="32"/>
          <w:highlight w:val="none"/>
          <w:lang w:val="en-US" w:eastAsia="zh-CN"/>
        </w:rPr>
        <w:t>1.地方政府债务限额和余额情况。我县2021年政府债务限额为268,975.35万元，其中：一般债务限额61,579.45万元，专项债务限额207,395.90万元。2021年末，我县政府债务余额268,907.74万元，其中：一般债务余额61,511.84万元，专项债务余额207,395.90万元。我县2021年底债务余额未超过限额，政府债务风险总体可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 w:eastAsia="仿宋_GB2312" w:cs="仿宋"/>
          <w:color w:val="auto"/>
          <w:sz w:val="32"/>
          <w:szCs w:val="32"/>
          <w:highlight w:val="none"/>
          <w:lang w:val="en-US" w:eastAsia="zh-CN"/>
        </w:rPr>
      </w:pPr>
      <w:r>
        <w:rPr>
          <w:rFonts w:hint="eastAsia" w:ascii="仿宋_GB2312" w:hAnsi="仿宋" w:eastAsia="仿宋_GB2312" w:cs="仿宋"/>
          <w:color w:val="auto"/>
          <w:sz w:val="32"/>
          <w:szCs w:val="32"/>
          <w:highlight w:val="none"/>
          <w:lang w:val="en-US" w:eastAsia="zh-CN"/>
        </w:rPr>
        <w:t>2.地方政府债券发行和偿还情况。2021年共争取新增债券资金87,807万元。其中一般债券5,807万元，其他专项债券82,000万元。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 w:eastAsia="仿宋_GB2312" w:cs="仿宋"/>
          <w:color w:val="auto"/>
          <w:sz w:val="32"/>
          <w:szCs w:val="32"/>
          <w:highlight w:val="none"/>
          <w:lang w:val="en-US" w:eastAsia="zh-CN"/>
        </w:rPr>
      </w:pPr>
      <w:r>
        <w:rPr>
          <w:rFonts w:hint="eastAsia" w:ascii="仿宋_GB2312" w:hAnsi="仿宋" w:eastAsia="仿宋_GB2312" w:cs="仿宋"/>
          <w:color w:val="auto"/>
          <w:sz w:val="32"/>
          <w:szCs w:val="32"/>
          <w:highlight w:val="none"/>
          <w:lang w:val="en-US" w:eastAsia="zh-CN"/>
        </w:rPr>
        <w:t>2021年偿还地方政府债务本金6,629.6万元，其中：一般债务本金5,052.6万元；专项债务本金1,577万元。支付地方政府债务利息6,178万元，其中：一般债务利息1,679万元，专项债务利息4,499万元。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仿宋_GB2312" w:hAnsi="仿宋" w:eastAsia="仿宋_GB2312" w:cs="仿宋"/>
          <w:color w:val="auto"/>
          <w:sz w:val="32"/>
          <w:szCs w:val="32"/>
          <w:highlight w:val="none"/>
          <w:lang w:val="en-US" w:eastAsia="zh-CN"/>
        </w:rPr>
      </w:pPr>
      <w:r>
        <w:rPr>
          <w:rFonts w:hint="eastAsia" w:ascii="仿宋_GB2312" w:hAnsi="仿宋" w:eastAsia="仿宋_GB2312" w:cs="仿宋"/>
          <w:color w:val="auto"/>
          <w:sz w:val="32"/>
          <w:szCs w:val="32"/>
          <w:highlight w:val="none"/>
          <w:lang w:val="en-US" w:eastAsia="zh-CN"/>
        </w:rPr>
        <w:t>3.我县2021年完成全域无隐性债务试点工作。</w:t>
      </w:r>
    </w:p>
    <w:p>
      <w:pPr>
        <w:pStyle w:val="14"/>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楷体" w:hAnsi="楷体" w:eastAsia="楷体" w:cs="楷体"/>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（六）与预算有关重大事项情况说明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color w:val="auto"/>
          <w:lang w:val="en-US" w:eastAsia="zh-CN"/>
        </w:rPr>
      </w:pPr>
      <w:r>
        <w:rPr>
          <w:rFonts w:hint="eastAsia" w:ascii="仿宋_GB2312" w:hAnsi="仿宋_GB2312" w:eastAsia="仿宋_GB2312" w:cs="仿宋_GB2312"/>
          <w:color w:val="auto"/>
          <w:kern w:val="0"/>
          <w:sz w:val="32"/>
          <w:szCs w:val="32"/>
          <w:highlight w:val="none"/>
          <w:lang w:val="en-US" w:eastAsia="zh-CN" w:bidi="ar-SA"/>
        </w:rPr>
        <w:t>按照中央及省的有关政策规定，2021年我县收回2020年以前年度上级财政专项转移支付及2021年本级结余资金合计16,710万元，根据《广东省人民政府关于做好盘活地方财政沉淀资金用于增加有效投资和补短板工作的通知》（粤府办〔2016〕129号）文件精神，收回的资金主要用于保障我县基本民生、城市基础设施建设及乡村振兴等重点领域支出。</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eastAsia="zh-CN"/>
        </w:rPr>
        <w:t>二</w:t>
      </w:r>
      <w:r>
        <w:rPr>
          <w:rFonts w:hint="eastAsia" w:ascii="黑体" w:hAnsi="黑体" w:eastAsia="黑体" w:cs="黑体"/>
          <w:color w:val="auto"/>
          <w:sz w:val="32"/>
          <w:szCs w:val="32"/>
          <w:highlight w:val="none"/>
        </w:rPr>
        <w:t>、</w:t>
      </w:r>
      <w:r>
        <w:rPr>
          <w:rFonts w:hint="eastAsia" w:ascii="黑体" w:hAnsi="黑体" w:eastAsia="黑体" w:cs="黑体"/>
          <w:color w:val="auto"/>
          <w:sz w:val="32"/>
          <w:szCs w:val="32"/>
          <w:highlight w:val="none"/>
          <w:lang w:eastAsia="zh-CN"/>
        </w:rPr>
        <w:t>202</w:t>
      </w:r>
      <w:r>
        <w:rPr>
          <w:rFonts w:hint="eastAsia" w:ascii="黑体" w:hAnsi="黑体" w:eastAsia="黑体" w:cs="黑体"/>
          <w:color w:val="auto"/>
          <w:sz w:val="32"/>
          <w:szCs w:val="32"/>
          <w:highlight w:val="none"/>
          <w:lang w:val="en-US" w:eastAsia="zh-CN"/>
        </w:rPr>
        <w:t>1</w:t>
      </w:r>
      <w:r>
        <w:rPr>
          <w:rFonts w:hint="eastAsia" w:ascii="黑体" w:hAnsi="黑体" w:eastAsia="黑体" w:cs="黑体"/>
          <w:color w:val="auto"/>
          <w:sz w:val="32"/>
          <w:szCs w:val="32"/>
          <w:highlight w:val="none"/>
        </w:rPr>
        <w:t>年财政预算执行的主要工作措施</w:t>
      </w:r>
    </w:p>
    <w:p>
      <w:pPr>
        <w:pStyle w:val="3"/>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 w:eastAsia="仿宋_GB2312" w:cs="仿宋"/>
          <w:color w:val="auto"/>
          <w:kern w:val="2"/>
          <w:sz w:val="32"/>
          <w:szCs w:val="32"/>
          <w:highlight w:val="none"/>
          <w:lang w:val="en-US" w:eastAsia="zh-CN" w:bidi="ar-SA"/>
        </w:rPr>
        <w:t>（一）</w:t>
      </w:r>
      <w:r>
        <w:rPr>
          <w:rFonts w:hint="eastAsia" w:ascii="楷体" w:hAnsi="楷体" w:eastAsia="楷体" w:cs="楷体"/>
          <w:color w:val="auto"/>
          <w:kern w:val="2"/>
          <w:sz w:val="32"/>
          <w:szCs w:val="32"/>
          <w:highlight w:val="none"/>
          <w:lang w:val="en-US" w:eastAsia="zh-CN" w:bidi="ar-SA"/>
        </w:rPr>
        <w:t>狠抓收入，保障财政平稳运行。</w:t>
      </w:r>
      <w:r>
        <w:rPr>
          <w:rFonts w:hint="eastAsia" w:ascii="仿宋_GB2312" w:hAnsi="仿宋" w:eastAsia="仿宋_GB2312" w:cs="仿宋"/>
          <w:color w:val="auto"/>
          <w:kern w:val="2"/>
          <w:sz w:val="32"/>
          <w:szCs w:val="32"/>
          <w:highlight w:val="none"/>
          <w:lang w:val="en-US" w:eastAsia="zh-CN" w:bidi="ar-SA"/>
        </w:rPr>
        <w:t>2021年，受新冠疫情以及减税降费等各类因素叠加影响，收入完成难度加大，财税等部门始终坚持把完成年初收入任务作为工作重心，以均衡入库为重点，以提高收入质量为核心，咬定目标不放松。一是强化财源培植。坚持培育税源、协税护税的工作原则，通过</w:t>
      </w:r>
      <w:r>
        <w:rPr>
          <w:rFonts w:hint="eastAsia" w:ascii="仿宋_GB2312" w:hAnsi="仿宋" w:eastAsia="仿宋_GB2312" w:cs="仿宋"/>
          <w:color w:val="auto"/>
          <w:kern w:val="2"/>
          <w:sz w:val="32"/>
          <w:szCs w:val="32"/>
          <w:lang w:val="en-US" w:eastAsia="zh-CN" w:bidi="ar-SA"/>
        </w:rPr>
        <w:t>优化营商环境，大力支持新材料、现代农业、生态旅游等特色产业发展，积极涵养税源。紧扣当前经济发展形势，贯彻落实各项减负政策，切实为企业降负降本，提升实体经济、民营经济和本土经济活力，内生税源。</w:t>
      </w:r>
      <w:r>
        <w:rPr>
          <w:rFonts w:hint="eastAsia" w:ascii="仿宋_GB2312" w:hAnsi="仿宋" w:eastAsia="仿宋_GB2312" w:cs="仿宋"/>
          <w:color w:val="auto"/>
          <w:kern w:val="2"/>
          <w:sz w:val="32"/>
          <w:szCs w:val="32"/>
          <w:highlight w:val="none"/>
          <w:lang w:val="en-US" w:eastAsia="zh-CN" w:bidi="ar-SA"/>
        </w:rPr>
        <w:t>二是扎实推进税收征管，积极开展财税等部门征收协管工作，跟踪重点税源动态信息，依法加强财税征收。三是积极争取上级资金，树立“先谋项目、再谋钱”的工作思路，</w:t>
      </w:r>
      <w:r>
        <w:rPr>
          <w:rFonts w:hint="eastAsia" w:ascii="仿宋_GB2312" w:hAnsi="仿宋_GB2312" w:eastAsia="仿宋_GB2312" w:cs="仿宋_GB2312"/>
          <w:color w:val="auto"/>
          <w:sz w:val="32"/>
          <w:szCs w:val="32"/>
          <w:highlight w:val="none"/>
        </w:rPr>
        <w:t>密切关注政策走向，</w:t>
      </w:r>
      <w:r>
        <w:rPr>
          <w:rFonts w:hint="eastAsia" w:ascii="仿宋_GB2312" w:hAnsi="仿宋_GB2312" w:eastAsia="仿宋_GB2312" w:cs="仿宋_GB2312"/>
          <w:color w:val="auto"/>
          <w:sz w:val="32"/>
          <w:szCs w:val="32"/>
          <w:highlight w:val="none"/>
          <w:lang w:eastAsia="zh-CN"/>
        </w:rPr>
        <w:t>主动与上级部门对接，</w:t>
      </w:r>
      <w:r>
        <w:rPr>
          <w:rFonts w:hint="eastAsia" w:ascii="仿宋_GB2312" w:hAnsi="仿宋_GB2312" w:eastAsia="仿宋_GB2312" w:cs="仿宋_GB2312"/>
          <w:color w:val="auto"/>
          <w:sz w:val="32"/>
          <w:szCs w:val="32"/>
          <w:highlight w:val="none"/>
        </w:rPr>
        <w:t>最大限度争取项目和资金支持</w:t>
      </w:r>
      <w:r>
        <w:rPr>
          <w:rFonts w:hint="eastAsia" w:ascii="仿宋_GB2312" w:hAnsi="仿宋_GB2312" w:eastAsia="仿宋_GB2312" w:cs="仿宋_GB2312"/>
          <w:color w:val="auto"/>
          <w:sz w:val="32"/>
          <w:szCs w:val="32"/>
          <w:highlight w:val="none"/>
          <w:lang w:eastAsia="zh-CN"/>
        </w:rPr>
        <w:t>，全年争取到各类上级补助资金</w:t>
      </w:r>
      <w:r>
        <w:rPr>
          <w:rFonts w:hint="eastAsia" w:ascii="仿宋_GB2312" w:hAnsi="仿宋_GB2312" w:eastAsia="仿宋_GB2312" w:cs="仿宋_GB2312"/>
          <w:color w:val="auto"/>
          <w:sz w:val="32"/>
          <w:szCs w:val="32"/>
          <w:highlight w:val="none"/>
          <w:lang w:val="en-US" w:eastAsia="zh-CN"/>
        </w:rPr>
        <w:t>27.14亿元，争取新增债券资金8.78亿元</w:t>
      </w:r>
      <w:r>
        <w:rPr>
          <w:rFonts w:hint="eastAsia" w:ascii="仿宋_GB2312" w:hAnsi="仿宋_GB2312" w:eastAsia="仿宋_GB2312" w:cs="仿宋_GB2312"/>
          <w:color w:val="auto"/>
          <w:sz w:val="32"/>
          <w:szCs w:val="32"/>
          <w:highlight w:val="none"/>
          <w:lang w:eastAsia="zh-CN"/>
        </w:rPr>
        <w:t>。</w:t>
      </w:r>
    </w:p>
    <w:p>
      <w:pPr>
        <w:pStyle w:val="3"/>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楷体" w:hAnsi="楷体" w:eastAsia="楷体" w:cs="楷体"/>
          <w:color w:val="auto"/>
          <w:kern w:val="2"/>
          <w:sz w:val="32"/>
          <w:szCs w:val="32"/>
          <w:highlight w:val="none"/>
          <w:lang w:val="en-US" w:eastAsia="zh-CN" w:bidi="ar-SA"/>
        </w:rPr>
        <w:t>（二）优化支出，发挥公共财政职能。</w:t>
      </w:r>
      <w:r>
        <w:rPr>
          <w:rFonts w:hint="eastAsia" w:ascii="仿宋_GB2312" w:hAnsi="仿宋_GB2312" w:eastAsia="仿宋_GB2312" w:cs="仿宋_GB2312"/>
          <w:color w:val="auto"/>
          <w:kern w:val="2"/>
          <w:sz w:val="32"/>
          <w:szCs w:val="32"/>
          <w:highlight w:val="none"/>
          <w:lang w:val="en-US" w:eastAsia="zh-CN" w:bidi="ar-SA"/>
        </w:rPr>
        <w:t>在收支矛盾突出的情况下，积极筹措资金，集中财力兜牢“三保”底线，保障重大政策、重点项目的实施。2021年涉及13类民生支出</w:t>
      </w:r>
      <w:r>
        <w:rPr>
          <w:rFonts w:hint="eastAsia" w:ascii="仿宋_GB2312" w:hAnsi="仿宋_GB2312" w:eastAsia="仿宋_GB2312" w:cs="仿宋_GB2312"/>
          <w:color w:val="auto"/>
          <w:spacing w:val="-6"/>
          <w:sz w:val="32"/>
          <w:szCs w:val="32"/>
          <w:highlight w:val="none"/>
          <w:vertAlign w:val="superscript"/>
        </w:rPr>
        <w:t>⑦</w:t>
      </w:r>
      <w:r>
        <w:rPr>
          <w:rFonts w:hint="eastAsia" w:ascii="仿宋_GB2312" w:hAnsi="仿宋_GB2312" w:eastAsia="仿宋_GB2312" w:cs="仿宋_GB2312"/>
          <w:color w:val="auto"/>
          <w:kern w:val="2"/>
          <w:sz w:val="32"/>
          <w:szCs w:val="32"/>
          <w:highlight w:val="none"/>
          <w:lang w:val="en-US" w:eastAsia="zh-CN" w:bidi="ar-SA"/>
        </w:rPr>
        <w:t>累计完成294,514万元，占一般公共预算本级支出的84.91%。一是</w:t>
      </w:r>
      <w:r>
        <w:rPr>
          <w:rFonts w:hint="eastAsia" w:ascii="仿宋_GB2312" w:hAnsi="仿宋_GB2312" w:eastAsia="仿宋_GB2312" w:cs="仿宋_GB2312"/>
          <w:color w:val="auto"/>
          <w:sz w:val="32"/>
          <w:szCs w:val="32"/>
          <w:highlight w:val="none"/>
          <w:lang w:val="en-US" w:eastAsia="zh-CN"/>
        </w:rPr>
        <w:t>全县教育支出约70,884万元。主要是学前教育幼儿资助249万元，城乡义务教育生均公用经费6,608万元，义务教育阶段特殊教育学校和随班就读残疾学生生均公用经费240万元，城乡义务教育家庭经济困难学生生活补助404万元，普通高中学生资助240万元，中职教育学生资助1,086万元，提高寄宿制学校等公用经费308万元，山区边远地区学校教师生活补助1,990万元，民办代课教师补助653万元，义务教育薄弱环节改造提升677万元，农村公办学校校舍安全保障485万元，陈璘小学建设5,000万元，安排教育费附加支出1,783万元，用于改善学校办学条件。二是全县</w:t>
      </w:r>
      <w:r>
        <w:rPr>
          <w:rFonts w:hint="eastAsia" w:ascii="仿宋_GB2312" w:hAnsi="仿宋_GB2312" w:eastAsia="仿宋_GB2312" w:cs="仿宋_GB2312"/>
          <w:bCs/>
          <w:color w:val="auto"/>
          <w:sz w:val="32"/>
          <w:szCs w:val="32"/>
          <w:highlight w:val="none"/>
        </w:rPr>
        <w:t>社会保障和就业</w:t>
      </w:r>
      <w:r>
        <w:rPr>
          <w:rFonts w:hint="eastAsia" w:ascii="仿宋_GB2312" w:hAnsi="仿宋_GB2312" w:eastAsia="仿宋_GB2312" w:cs="仿宋_GB2312"/>
          <w:bCs/>
          <w:color w:val="auto"/>
          <w:sz w:val="32"/>
          <w:szCs w:val="32"/>
          <w:highlight w:val="none"/>
          <w:lang w:eastAsia="zh-CN"/>
        </w:rPr>
        <w:t>支出约</w:t>
      </w:r>
      <w:r>
        <w:rPr>
          <w:rFonts w:hint="eastAsia" w:ascii="仿宋_GB2312" w:hAnsi="仿宋_GB2312" w:eastAsia="仿宋_GB2312" w:cs="仿宋_GB2312"/>
          <w:bCs/>
          <w:color w:val="auto"/>
          <w:sz w:val="32"/>
          <w:szCs w:val="32"/>
          <w:highlight w:val="none"/>
          <w:lang w:val="en-US" w:eastAsia="zh-CN"/>
        </w:rPr>
        <w:t>76,424万元，</w:t>
      </w:r>
      <w:r>
        <w:rPr>
          <w:rFonts w:hint="eastAsia" w:ascii="仿宋_GB2312" w:hAnsi="仿宋_GB2312" w:eastAsia="仿宋_GB2312" w:cs="仿宋_GB2312"/>
          <w:color w:val="auto"/>
          <w:sz w:val="32"/>
          <w:szCs w:val="32"/>
          <w:highlight w:val="none"/>
          <w:lang w:val="en-US" w:eastAsia="zh-CN"/>
        </w:rPr>
        <w:t>持续提高各项民生保障配套资金标准。城镇低保标准772元/人/月提高到800元/人/月，月人均补差水平达到631元，农村低保标准532元/人/月提高到580元/人/月，月人均补差水平达到300元；农村特困人员供养标准852元/人/月提高到928元/人/月,城镇特困人员供养标准1,236元/人/月提高到1,280元/人/月，完成城乡低保对象、特困人员提标补发。社会散居孤儿基本生活保障金供养标准从上年的1,110元/人/月提高到1,227元/人/月、重度残疾人护理补贴从上年235元/人/月提高到243元/人/月、困难重度残疾人生活补贴从上年175元/人/月提高到181元/人/月。</w:t>
      </w:r>
      <w:r>
        <w:rPr>
          <w:rFonts w:hint="eastAsia" w:ascii="仿宋_GB2312" w:hAnsi="仿宋" w:eastAsia="仿宋_GB2312" w:cs="仿宋"/>
          <w:color w:val="auto"/>
          <w:sz w:val="32"/>
          <w:szCs w:val="32"/>
          <w:highlight w:val="none"/>
        </w:rPr>
        <w:t>三是</w:t>
      </w:r>
      <w:r>
        <w:rPr>
          <w:rFonts w:hint="eastAsia" w:ascii="仿宋_GB2312" w:hAnsi="仿宋" w:eastAsia="仿宋_GB2312" w:cs="仿宋"/>
          <w:color w:val="auto"/>
          <w:sz w:val="32"/>
          <w:szCs w:val="32"/>
          <w:highlight w:val="none"/>
          <w:lang w:eastAsia="zh-CN"/>
        </w:rPr>
        <w:t>全县</w:t>
      </w:r>
      <w:r>
        <w:rPr>
          <w:rFonts w:hint="eastAsia" w:ascii="仿宋_GB2312" w:hAnsi="仿宋" w:eastAsia="仿宋_GB2312" w:cs="仿宋"/>
          <w:color w:val="auto"/>
          <w:sz w:val="32"/>
          <w:szCs w:val="32"/>
          <w:highlight w:val="none"/>
        </w:rPr>
        <w:t>卫生健康</w:t>
      </w:r>
      <w:r>
        <w:rPr>
          <w:rFonts w:hint="eastAsia" w:ascii="仿宋_GB2312" w:hAnsi="仿宋" w:eastAsia="仿宋_GB2312" w:cs="仿宋"/>
          <w:color w:val="auto"/>
          <w:sz w:val="32"/>
          <w:szCs w:val="32"/>
          <w:highlight w:val="none"/>
          <w:lang w:eastAsia="zh-CN"/>
        </w:rPr>
        <w:t>支出约</w:t>
      </w:r>
      <w:r>
        <w:rPr>
          <w:rFonts w:hint="eastAsia" w:ascii="仿宋_GB2312" w:hAnsi="仿宋" w:eastAsia="仿宋_GB2312" w:cs="仿宋"/>
          <w:color w:val="auto"/>
          <w:sz w:val="32"/>
          <w:szCs w:val="32"/>
          <w:highlight w:val="none"/>
          <w:lang w:val="en-US" w:eastAsia="zh-CN"/>
        </w:rPr>
        <w:t>40,056万元。主要是疫情防控资金投入446万元，为城乡居民提供基本公共卫生服务投入2,861万元，农村计生家庭奖励金259万元，农村计生家庭扶助金102万元，农村计生家庭节育奖217万元，城镇计划生育奖励金243万元，基层医疗卫生事业费补助776万元，卫生院基层医疗卫生机构运行4,018万元，边远山区乡镇卫生院医务人员岗位津贴专项经费519万元，经济欠发达地区村卫生站医生补助资金293万元，农村已离岗接生员和赤脚医生生活困难补助经费305万元等。</w:t>
      </w:r>
      <w:r>
        <w:rPr>
          <w:rFonts w:hint="eastAsia" w:ascii="仿宋_GB2312" w:hAnsi="仿宋" w:eastAsia="仿宋_GB2312" w:cs="仿宋"/>
          <w:color w:val="auto"/>
          <w:sz w:val="32"/>
          <w:szCs w:val="32"/>
          <w:highlight w:val="none"/>
          <w:lang w:eastAsia="zh-CN"/>
        </w:rPr>
        <w:t>四是全县农林水支出约</w:t>
      </w:r>
      <w:r>
        <w:rPr>
          <w:rFonts w:hint="eastAsia" w:ascii="仿宋_GB2312" w:hAnsi="仿宋" w:eastAsia="仿宋_GB2312" w:cs="仿宋"/>
          <w:color w:val="auto"/>
          <w:sz w:val="32"/>
          <w:szCs w:val="32"/>
          <w:highlight w:val="none"/>
          <w:lang w:val="en-US" w:eastAsia="zh-CN"/>
        </w:rPr>
        <w:t>64,169</w:t>
      </w:r>
      <w:r>
        <w:rPr>
          <w:rFonts w:hint="eastAsia" w:ascii="仿宋_GB2312" w:hAnsi="仿宋" w:eastAsia="仿宋_GB2312" w:cs="仿宋"/>
          <w:color w:val="auto"/>
          <w:sz w:val="32"/>
          <w:szCs w:val="32"/>
          <w:highlight w:val="none"/>
          <w:lang w:eastAsia="zh-CN"/>
        </w:rPr>
        <w:t>万元，主要是</w:t>
      </w:r>
      <w:r>
        <w:rPr>
          <w:rFonts w:hint="eastAsia" w:ascii="仿宋_GB2312" w:hAnsi="仿宋" w:eastAsia="仿宋_GB2312" w:cs="仿宋"/>
          <w:color w:val="auto"/>
          <w:sz w:val="32"/>
          <w:szCs w:val="32"/>
          <w:highlight w:val="none"/>
        </w:rPr>
        <w:t>水利工程建设及农村人畜饮水投入10</w:t>
      </w:r>
      <w:r>
        <w:rPr>
          <w:rFonts w:hint="eastAsia" w:ascii="仿宋_GB2312" w:hAnsi="仿宋" w:eastAsia="仿宋_GB2312" w:cs="仿宋"/>
          <w:color w:val="auto"/>
          <w:sz w:val="32"/>
          <w:szCs w:val="32"/>
          <w:highlight w:val="none"/>
          <w:lang w:val="en-US" w:eastAsia="zh-CN"/>
        </w:rPr>
        <w:t>,906</w:t>
      </w:r>
      <w:r>
        <w:rPr>
          <w:rFonts w:hint="eastAsia" w:ascii="仿宋_GB2312" w:hAnsi="仿宋" w:eastAsia="仿宋_GB2312" w:cs="仿宋"/>
          <w:color w:val="auto"/>
          <w:sz w:val="32"/>
          <w:szCs w:val="32"/>
          <w:highlight w:val="none"/>
        </w:rPr>
        <w:t>万元，其中全域集中供水5</w:t>
      </w:r>
      <w:r>
        <w:rPr>
          <w:rFonts w:hint="eastAsia" w:ascii="仿宋_GB2312" w:hAnsi="仿宋" w:eastAsia="仿宋_GB2312" w:cs="仿宋"/>
          <w:color w:val="auto"/>
          <w:sz w:val="32"/>
          <w:szCs w:val="32"/>
          <w:highlight w:val="none"/>
          <w:lang w:val="en-US" w:eastAsia="zh-CN"/>
        </w:rPr>
        <w:t>,</w:t>
      </w:r>
      <w:r>
        <w:rPr>
          <w:rFonts w:hint="eastAsia" w:ascii="仿宋_GB2312" w:hAnsi="仿宋" w:eastAsia="仿宋_GB2312" w:cs="仿宋"/>
          <w:color w:val="auto"/>
          <w:sz w:val="32"/>
          <w:szCs w:val="32"/>
          <w:highlight w:val="none"/>
        </w:rPr>
        <w:t>796万</w:t>
      </w:r>
      <w:r>
        <w:rPr>
          <w:rFonts w:hint="eastAsia" w:ascii="仿宋_GB2312" w:hAnsi="仿宋" w:eastAsia="仿宋_GB2312" w:cs="仿宋"/>
          <w:color w:val="auto"/>
          <w:sz w:val="32"/>
          <w:szCs w:val="32"/>
          <w:highlight w:val="none"/>
          <w:lang w:eastAsia="zh-CN"/>
        </w:rPr>
        <w:t>元；</w:t>
      </w:r>
      <w:r>
        <w:rPr>
          <w:rFonts w:hint="eastAsia" w:ascii="仿宋_GB2312" w:hAnsi="仿宋" w:eastAsia="仿宋_GB2312" w:cs="仿宋"/>
          <w:color w:val="auto"/>
          <w:sz w:val="32"/>
          <w:szCs w:val="32"/>
          <w:highlight w:val="none"/>
        </w:rPr>
        <w:t>农村垃圾清运1</w:t>
      </w:r>
      <w:r>
        <w:rPr>
          <w:rFonts w:hint="eastAsia" w:ascii="仿宋_GB2312" w:hAnsi="仿宋" w:eastAsia="仿宋_GB2312" w:cs="仿宋"/>
          <w:color w:val="auto"/>
          <w:sz w:val="32"/>
          <w:szCs w:val="32"/>
          <w:highlight w:val="none"/>
          <w:lang w:val="en-US" w:eastAsia="zh-CN"/>
        </w:rPr>
        <w:t>,</w:t>
      </w:r>
      <w:r>
        <w:rPr>
          <w:rFonts w:hint="eastAsia" w:ascii="仿宋_GB2312" w:hAnsi="仿宋" w:eastAsia="仿宋_GB2312" w:cs="仿宋"/>
          <w:color w:val="auto"/>
          <w:sz w:val="32"/>
          <w:szCs w:val="32"/>
          <w:highlight w:val="none"/>
        </w:rPr>
        <w:t>226万元</w:t>
      </w:r>
      <w:r>
        <w:rPr>
          <w:rFonts w:hint="eastAsia" w:ascii="仿宋_GB2312" w:hAnsi="仿宋" w:eastAsia="仿宋_GB2312" w:cs="仿宋"/>
          <w:color w:val="auto"/>
          <w:sz w:val="32"/>
          <w:szCs w:val="32"/>
          <w:highlight w:val="none"/>
          <w:lang w:eastAsia="zh-CN"/>
        </w:rPr>
        <w:t>；</w:t>
      </w:r>
      <w:r>
        <w:rPr>
          <w:rFonts w:hint="eastAsia" w:ascii="仿宋_GB2312" w:hAnsi="仿宋" w:eastAsia="仿宋_GB2312" w:cs="仿宋"/>
          <w:color w:val="auto"/>
          <w:sz w:val="32"/>
          <w:szCs w:val="32"/>
          <w:highlight w:val="none"/>
        </w:rPr>
        <w:t>乡村振兴省级驻镇帮镇资金4</w:t>
      </w:r>
      <w:r>
        <w:rPr>
          <w:rFonts w:hint="eastAsia" w:ascii="仿宋_GB2312" w:hAnsi="仿宋" w:eastAsia="仿宋_GB2312" w:cs="仿宋"/>
          <w:color w:val="auto"/>
          <w:sz w:val="32"/>
          <w:szCs w:val="32"/>
          <w:highlight w:val="none"/>
          <w:lang w:val="en-US" w:eastAsia="zh-CN"/>
        </w:rPr>
        <w:t>,</w:t>
      </w:r>
      <w:r>
        <w:rPr>
          <w:rFonts w:hint="eastAsia" w:ascii="仿宋_GB2312" w:hAnsi="仿宋" w:eastAsia="仿宋_GB2312" w:cs="仿宋"/>
          <w:color w:val="auto"/>
          <w:sz w:val="32"/>
          <w:szCs w:val="32"/>
          <w:highlight w:val="none"/>
        </w:rPr>
        <w:t>000万元</w:t>
      </w:r>
      <w:r>
        <w:rPr>
          <w:rFonts w:hint="eastAsia" w:ascii="仿宋_GB2312" w:hAnsi="仿宋" w:eastAsia="仿宋_GB2312" w:cs="仿宋"/>
          <w:color w:val="auto"/>
          <w:sz w:val="32"/>
          <w:szCs w:val="32"/>
          <w:highlight w:val="none"/>
          <w:lang w:eastAsia="zh-CN"/>
        </w:rPr>
        <w:t>；</w:t>
      </w:r>
      <w:r>
        <w:rPr>
          <w:rFonts w:hint="eastAsia" w:ascii="仿宋_GB2312" w:hAnsi="仿宋" w:eastAsia="仿宋_GB2312" w:cs="仿宋"/>
          <w:color w:val="auto"/>
          <w:sz w:val="32"/>
          <w:szCs w:val="32"/>
          <w:highlight w:val="none"/>
        </w:rPr>
        <w:t>中央乡村振兴衔接资金300万元</w:t>
      </w:r>
      <w:r>
        <w:rPr>
          <w:rFonts w:hint="eastAsia" w:ascii="仿宋_GB2312" w:hAnsi="仿宋" w:eastAsia="仿宋_GB2312" w:cs="仿宋"/>
          <w:color w:val="auto"/>
          <w:sz w:val="32"/>
          <w:szCs w:val="32"/>
          <w:highlight w:val="none"/>
          <w:lang w:eastAsia="zh-CN"/>
        </w:rPr>
        <w:t>；</w:t>
      </w:r>
      <w:r>
        <w:rPr>
          <w:rFonts w:hint="eastAsia" w:ascii="仿宋_GB2312" w:hAnsi="仿宋" w:eastAsia="仿宋_GB2312" w:cs="仿宋"/>
          <w:color w:val="auto"/>
          <w:sz w:val="32"/>
          <w:szCs w:val="32"/>
          <w:highlight w:val="none"/>
        </w:rPr>
        <w:t>高标准基本农田建设投入4</w:t>
      </w:r>
      <w:r>
        <w:rPr>
          <w:rFonts w:hint="eastAsia" w:ascii="仿宋_GB2312" w:hAnsi="仿宋" w:eastAsia="仿宋_GB2312" w:cs="仿宋"/>
          <w:color w:val="auto"/>
          <w:sz w:val="32"/>
          <w:szCs w:val="32"/>
          <w:highlight w:val="none"/>
          <w:lang w:val="en-US" w:eastAsia="zh-CN"/>
        </w:rPr>
        <w:t>,</w:t>
      </w:r>
      <w:r>
        <w:rPr>
          <w:rFonts w:hint="eastAsia" w:ascii="仿宋_GB2312" w:hAnsi="仿宋" w:eastAsia="仿宋_GB2312" w:cs="仿宋"/>
          <w:color w:val="auto"/>
          <w:sz w:val="32"/>
          <w:szCs w:val="32"/>
          <w:highlight w:val="none"/>
        </w:rPr>
        <w:t>497万元</w:t>
      </w:r>
      <w:r>
        <w:rPr>
          <w:rFonts w:hint="eastAsia" w:ascii="仿宋_GB2312" w:hAnsi="仿宋" w:eastAsia="仿宋_GB2312" w:cs="仿宋"/>
          <w:color w:val="auto"/>
          <w:sz w:val="32"/>
          <w:szCs w:val="32"/>
          <w:highlight w:val="none"/>
          <w:lang w:eastAsia="zh-CN"/>
        </w:rPr>
        <w:t>；</w:t>
      </w:r>
      <w:r>
        <w:rPr>
          <w:rFonts w:hint="eastAsia" w:ascii="仿宋_GB2312" w:hAnsi="仿宋" w:eastAsia="仿宋_GB2312" w:cs="仿宋"/>
          <w:color w:val="auto"/>
          <w:sz w:val="32"/>
          <w:szCs w:val="32"/>
          <w:highlight w:val="none"/>
        </w:rPr>
        <w:t>农村公路旅游公路建设与农村公路养护</w:t>
      </w:r>
      <w:r>
        <w:rPr>
          <w:rFonts w:hint="eastAsia" w:ascii="仿宋_GB2312" w:hAnsi="仿宋" w:eastAsia="仿宋_GB2312" w:cs="仿宋"/>
          <w:color w:val="auto"/>
          <w:sz w:val="32"/>
          <w:szCs w:val="32"/>
          <w:highlight w:val="none"/>
          <w:lang w:val="en-US" w:eastAsia="zh-CN"/>
        </w:rPr>
        <w:t>2,</w:t>
      </w:r>
      <w:r>
        <w:rPr>
          <w:rFonts w:hint="eastAsia" w:ascii="仿宋_GB2312" w:hAnsi="仿宋" w:eastAsia="仿宋_GB2312" w:cs="仿宋"/>
          <w:color w:val="auto"/>
          <w:sz w:val="32"/>
          <w:szCs w:val="32"/>
          <w:highlight w:val="none"/>
        </w:rPr>
        <w:t>847万元</w:t>
      </w:r>
      <w:r>
        <w:rPr>
          <w:rFonts w:hint="eastAsia" w:ascii="仿宋_GB2312" w:hAnsi="仿宋" w:eastAsia="仿宋_GB2312" w:cs="仿宋"/>
          <w:color w:val="auto"/>
          <w:sz w:val="32"/>
          <w:szCs w:val="32"/>
          <w:highlight w:val="none"/>
          <w:lang w:eastAsia="zh-CN"/>
        </w:rPr>
        <w:t>；</w:t>
      </w:r>
      <w:r>
        <w:rPr>
          <w:rFonts w:hint="eastAsia" w:ascii="仿宋_GB2312" w:hAnsi="仿宋" w:eastAsia="仿宋_GB2312" w:cs="仿宋"/>
          <w:color w:val="auto"/>
          <w:sz w:val="32"/>
          <w:szCs w:val="32"/>
          <w:highlight w:val="none"/>
        </w:rPr>
        <w:t>农村人居环境整治资金（含农村生活污水处理）5</w:t>
      </w:r>
      <w:r>
        <w:rPr>
          <w:rFonts w:hint="eastAsia" w:ascii="仿宋_GB2312" w:hAnsi="仿宋" w:eastAsia="仿宋_GB2312" w:cs="仿宋"/>
          <w:color w:val="auto"/>
          <w:sz w:val="32"/>
          <w:szCs w:val="32"/>
          <w:highlight w:val="none"/>
          <w:lang w:val="en-US" w:eastAsia="zh-CN"/>
        </w:rPr>
        <w:t>,559</w:t>
      </w:r>
      <w:r>
        <w:rPr>
          <w:rFonts w:hint="eastAsia" w:ascii="仿宋_GB2312" w:hAnsi="仿宋" w:eastAsia="仿宋_GB2312" w:cs="仿宋"/>
          <w:color w:val="auto"/>
          <w:sz w:val="32"/>
          <w:szCs w:val="32"/>
          <w:highlight w:val="none"/>
        </w:rPr>
        <w:t>万元</w:t>
      </w:r>
      <w:r>
        <w:rPr>
          <w:rFonts w:hint="eastAsia" w:ascii="仿宋_GB2312" w:hAnsi="仿宋" w:eastAsia="仿宋_GB2312" w:cs="仿宋"/>
          <w:color w:val="auto"/>
          <w:sz w:val="32"/>
          <w:szCs w:val="32"/>
          <w:highlight w:val="none"/>
          <w:lang w:eastAsia="zh-CN"/>
        </w:rPr>
        <w:t>；</w:t>
      </w:r>
      <w:r>
        <w:rPr>
          <w:rFonts w:hint="eastAsia" w:ascii="仿宋_GB2312" w:hAnsi="仿宋" w:eastAsia="仿宋_GB2312" w:cs="仿宋"/>
          <w:color w:val="auto"/>
          <w:sz w:val="32"/>
          <w:szCs w:val="32"/>
          <w:highlight w:val="none"/>
        </w:rPr>
        <w:t>政策性农业保险保费补贴</w:t>
      </w:r>
      <w:r>
        <w:rPr>
          <w:rFonts w:hint="eastAsia" w:ascii="仿宋_GB2312" w:hAnsi="仿宋" w:eastAsia="仿宋_GB2312" w:cs="仿宋"/>
          <w:color w:val="auto"/>
          <w:sz w:val="32"/>
          <w:szCs w:val="32"/>
          <w:highlight w:val="none"/>
          <w:lang w:val="en-US" w:eastAsia="zh-CN"/>
        </w:rPr>
        <w:t>2,192</w:t>
      </w:r>
      <w:r>
        <w:rPr>
          <w:rFonts w:hint="eastAsia" w:ascii="仿宋_GB2312" w:hAnsi="仿宋" w:eastAsia="仿宋_GB2312" w:cs="仿宋"/>
          <w:color w:val="auto"/>
          <w:sz w:val="32"/>
          <w:szCs w:val="32"/>
          <w:highlight w:val="none"/>
        </w:rPr>
        <w:t>万元</w:t>
      </w:r>
      <w:r>
        <w:rPr>
          <w:rFonts w:hint="eastAsia" w:ascii="仿宋_GB2312" w:hAnsi="仿宋" w:eastAsia="仿宋_GB2312" w:cs="仿宋"/>
          <w:color w:val="auto"/>
          <w:sz w:val="32"/>
          <w:szCs w:val="32"/>
          <w:highlight w:val="none"/>
          <w:lang w:eastAsia="zh-CN"/>
        </w:rPr>
        <w:t>；</w:t>
      </w:r>
      <w:r>
        <w:rPr>
          <w:rFonts w:hint="eastAsia" w:ascii="仿宋_GB2312" w:hAnsi="仿宋" w:eastAsia="仿宋_GB2312" w:cs="仿宋"/>
          <w:color w:val="auto"/>
          <w:sz w:val="32"/>
          <w:szCs w:val="32"/>
          <w:highlight w:val="none"/>
        </w:rPr>
        <w:t>兰花现代农业产业园753万元</w:t>
      </w:r>
      <w:r>
        <w:rPr>
          <w:rFonts w:hint="eastAsia" w:ascii="仿宋_GB2312" w:hAnsi="仿宋" w:eastAsia="仿宋_GB2312" w:cs="仿宋"/>
          <w:color w:val="auto"/>
          <w:sz w:val="32"/>
          <w:szCs w:val="32"/>
          <w:highlight w:val="none"/>
          <w:lang w:eastAsia="zh-CN"/>
        </w:rPr>
        <w:t>等</w:t>
      </w:r>
      <w:r>
        <w:rPr>
          <w:rFonts w:hint="eastAsia" w:ascii="仿宋_GB2312" w:hAnsi="仿宋" w:eastAsia="仿宋_GB2312" w:cs="仿宋"/>
          <w:color w:val="auto"/>
          <w:sz w:val="32"/>
          <w:szCs w:val="32"/>
          <w:highlight w:val="none"/>
        </w:rPr>
        <w:t>。</w:t>
      </w:r>
    </w:p>
    <w:p>
      <w:pPr>
        <w:pStyle w:val="3"/>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楷体" w:hAnsi="楷体" w:eastAsia="楷体" w:cs="楷体"/>
          <w:color w:val="auto"/>
          <w:kern w:val="2"/>
          <w:sz w:val="32"/>
          <w:szCs w:val="32"/>
          <w:highlight w:val="none"/>
          <w:lang w:val="en-US" w:eastAsia="zh-CN" w:bidi="ar-SA"/>
        </w:rPr>
        <w:t>（三）深化改革，提升财政管理水平。</w:t>
      </w:r>
      <w:r>
        <w:rPr>
          <w:rFonts w:hint="eastAsia" w:ascii="仿宋_GB2312" w:hAnsi="仿宋_GB2312" w:eastAsia="仿宋_GB2312" w:cs="仿宋_GB2312"/>
          <w:color w:val="auto"/>
          <w:sz w:val="32"/>
          <w:szCs w:val="32"/>
          <w:highlight w:val="none"/>
          <w:lang w:val="en-US" w:eastAsia="zh-CN"/>
        </w:rPr>
        <w:t>一是完善财政资金管理制度。依照《翁源县财政资金支出管理暂行办法》，进一步加强财政预算资金管理，规范资金使用程序，提高资金使用效益，严格依法理财，确保财政预算顺利执行，促进预算管理工作科学化、规范化、法制化。二是深化预算绩效管理。进一步严格绩效目标管理，积极推进项目绩效评价，未按要求设定绩效目标或审核未通过的项目，不再安排预算资金。强化绩效结果应用，预算安排与绩效评价结果相挂钩，对长期沉淀资金一律收回。三是坚持做好信息公开工作，除纳入涉密清单的事项外，部门预决算、“三公”经费和政府采购等信息全部依法依规主动公开。四是</w:t>
      </w:r>
      <w:r>
        <w:rPr>
          <w:rFonts w:hint="default" w:ascii="仿宋_GB2312" w:hAnsi="微软雅黑" w:eastAsia="仿宋_GB2312" w:cs="仿宋_GB2312"/>
          <w:i w:val="0"/>
          <w:caps w:val="0"/>
          <w:color w:val="auto"/>
          <w:spacing w:val="0"/>
          <w:sz w:val="32"/>
          <w:szCs w:val="32"/>
          <w:highlight w:val="none"/>
          <w:shd w:val="clear" w:fill="FFFFFF"/>
        </w:rPr>
        <w:t>强化工程预结算审核</w:t>
      </w:r>
      <w:r>
        <w:rPr>
          <w:rFonts w:hint="eastAsia" w:ascii="仿宋_GB2312" w:hAnsi="仿宋_GB2312" w:eastAsia="仿宋_GB2312" w:cs="仿宋_GB2312"/>
          <w:color w:val="auto"/>
          <w:sz w:val="32"/>
          <w:szCs w:val="32"/>
          <w:highlight w:val="none"/>
          <w:lang w:val="en-US" w:eastAsia="zh-CN"/>
        </w:rPr>
        <w:t>，把控源头，降低成本，提高资金使用效率。全年审核工程项目共972宗，审核项目资金244,351万元，核减8,419万元。其中预算核减项目366宗，送审资金164,151万元，核减6,353万元，核减率3.87%；结算审核项目606宗，送审资金80,200万元，核减2,066万元，核减率2.75%。五是加强政府采购工作。实行政府采购全过程监管，规范政府采购行为，提高政府采购资金的使用效益。全年完成政府采购项目677宗，采购预算金额（含工程）109,893万元，实际采购金额（含工程）108,211万元，节约资金1,682万元,资金节约率1.53%。</w:t>
      </w:r>
    </w:p>
    <w:p>
      <w:pPr>
        <w:pStyle w:val="3"/>
        <w:keepNext w:val="0"/>
        <w:keepLines w:val="0"/>
        <w:pageBreakBefore w:val="0"/>
        <w:kinsoku/>
        <w:wordWrap/>
        <w:overflowPunct/>
        <w:topLinePunct w:val="0"/>
        <w:autoSpaceDE/>
        <w:autoSpaceDN/>
        <w:bidi w:val="0"/>
        <w:adjustRightInd/>
        <w:snapToGrid/>
        <w:spacing w:line="560" w:lineRule="exact"/>
        <w:ind w:firstLine="640"/>
        <w:jc w:val="both"/>
        <w:textAlignment w:val="auto"/>
        <w:rPr>
          <w:rFonts w:hint="eastAsia"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各位代表，总体来看，在县委、县政府科学决策、正确领导下，在人大依法监督和政协民主监督下，在各级各部门共同努力下，我县财政工作在2020年度县级财政管理综合评价排名中，取得了全国第2、全省第1的好成绩，获得财政部、省财政厅通报表扬。但是，我们也不能忽视当前财政运行和财政管理中存在的困难和问题,主要是：一是新冠肺炎疫情持续影响，经济下行压力加大，税源单一，财政收入面临减收压力，而“六稳”“六保”、重点项目等刚性支出快速增长，还本付息增加，收支矛盾越来越突出；二是政府性债务风险虽然总体可控，但偿还到期债务负担逐年增大，风险防控和债务化解任务艰巨。对此,我们将高度重视，在今后的工作中研究制定积极有效的解决措施,也恳请各位代表、各位委员和列席人员提出宝贵的意见和建议。</w:t>
      </w:r>
    </w:p>
    <w:p>
      <w:pPr>
        <w:pStyle w:val="3"/>
        <w:keepNext w:val="0"/>
        <w:keepLines w:val="0"/>
        <w:pageBreakBefore w:val="0"/>
        <w:kinsoku/>
        <w:wordWrap/>
        <w:overflowPunct/>
        <w:topLinePunct w:val="0"/>
        <w:autoSpaceDE/>
        <w:autoSpaceDN/>
        <w:bidi w:val="0"/>
        <w:adjustRightInd/>
        <w:snapToGrid/>
        <w:spacing w:line="560" w:lineRule="exact"/>
        <w:ind w:firstLine="640"/>
        <w:jc w:val="both"/>
        <w:textAlignment w:val="auto"/>
        <w:rPr>
          <w:rFonts w:hint="eastAsia" w:ascii="楷体" w:hAnsi="楷体" w:eastAsia="楷体" w:cs="楷体"/>
          <w:color w:val="auto"/>
          <w:kern w:val="2"/>
          <w:sz w:val="32"/>
          <w:szCs w:val="32"/>
          <w:highlight w:val="none"/>
          <w:lang w:val="en-US" w:eastAsia="zh-CN" w:bidi="ar-SA"/>
        </w:rPr>
      </w:pPr>
      <w:r>
        <w:rPr>
          <w:rFonts w:hint="eastAsia" w:ascii="黑体" w:hAnsi="黑体" w:eastAsia="黑体" w:cs="黑体"/>
          <w:color w:val="auto"/>
          <w:sz w:val="32"/>
          <w:szCs w:val="32"/>
          <w:highlight w:val="none"/>
          <w:lang w:eastAsia="zh-CN"/>
        </w:rPr>
        <w:t>三</w:t>
      </w:r>
      <w:r>
        <w:rPr>
          <w:rFonts w:hint="eastAsia" w:ascii="黑体" w:hAnsi="黑体" w:eastAsia="黑体" w:cs="黑体"/>
          <w:color w:val="auto"/>
          <w:sz w:val="32"/>
          <w:szCs w:val="32"/>
          <w:highlight w:val="none"/>
        </w:rPr>
        <w:t>、</w:t>
      </w:r>
      <w:r>
        <w:rPr>
          <w:rFonts w:hint="eastAsia" w:ascii="黑体" w:hAnsi="黑体" w:eastAsia="黑体" w:cs="黑体"/>
          <w:color w:val="auto"/>
          <w:sz w:val="32"/>
          <w:szCs w:val="32"/>
          <w:highlight w:val="none"/>
          <w:lang w:eastAsia="zh-CN"/>
        </w:rPr>
        <w:t>202</w:t>
      </w:r>
      <w:r>
        <w:rPr>
          <w:rFonts w:hint="eastAsia" w:ascii="黑体" w:hAnsi="黑体" w:eastAsia="黑体" w:cs="黑体"/>
          <w:color w:val="auto"/>
          <w:sz w:val="32"/>
          <w:szCs w:val="32"/>
          <w:highlight w:val="none"/>
          <w:lang w:val="en-US" w:eastAsia="zh-CN"/>
        </w:rPr>
        <w:t>2</w:t>
      </w:r>
      <w:r>
        <w:rPr>
          <w:rFonts w:hint="eastAsia" w:ascii="黑体" w:hAnsi="黑体" w:eastAsia="黑体" w:cs="黑体"/>
          <w:color w:val="auto"/>
          <w:sz w:val="32"/>
          <w:szCs w:val="32"/>
          <w:highlight w:val="none"/>
        </w:rPr>
        <w:t>年预算草案</w:t>
      </w:r>
    </w:p>
    <w:p>
      <w:pPr>
        <w:pStyle w:val="3"/>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2022年我县预算安排的指导思想是：坚持以习近平新时代中国特色社会主义思想为指导，全面深入贯彻党的十九大和十九届六中全会及中央经济工作会议精神，全面贯彻落实习近平总书记对广东重要讲话和重要指示批示精神，落实省委十二届十五次全会精神，围绕县委、县政府重点工作任务，坚持稳中求进工作总基调，坚持新发展理念，坚持推动高质量发展，牢固树立集中财力办大事意识，大力支持“六稳”工作，落实“六保”任务。牢固树立“过紧日子”的思想，大力压减一般性支出，严控“三公”经费支出。兜牢“三保”底线，大力优化支出结构，切实保障和改善民生。加大资金统筹，有效盘活存量资金。加强地方政府债务管理，积极防范化解财政风险。全面实施预算绩效评审管理，推进预算和绩效管理一体化，为我县经济和社会发展提供坚强的财力保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color w:val="auto"/>
          <w:lang w:eastAsia="zh-CN"/>
        </w:rPr>
      </w:pPr>
      <w:r>
        <w:rPr>
          <w:rFonts w:hint="eastAsia" w:ascii="仿宋_GB2312" w:hAnsi="仿宋_GB2312" w:eastAsia="仿宋_GB2312" w:cs="仿宋_GB2312"/>
          <w:b w:val="0"/>
          <w:bCs w:val="0"/>
          <w:color w:val="auto"/>
          <w:sz w:val="32"/>
          <w:szCs w:val="32"/>
          <w:highlight w:val="none"/>
          <w:lang w:val="en-US" w:eastAsia="zh-CN"/>
        </w:rPr>
        <w:t>2022年预算编制的基本原则：一是</w:t>
      </w:r>
      <w:r>
        <w:rPr>
          <w:rFonts w:hint="eastAsia" w:ascii="仿宋_GB2312" w:hAnsi="仿宋_GB2312" w:eastAsia="仿宋_GB2312" w:cs="仿宋_GB2312"/>
          <w:b w:val="0"/>
          <w:bCs w:val="0"/>
          <w:color w:val="auto"/>
          <w:sz w:val="32"/>
          <w:szCs w:val="32"/>
          <w:highlight w:val="none"/>
          <w:lang w:eastAsia="zh-CN"/>
        </w:rPr>
        <w:t>深化预算改革，完善预算编审体系。做实财政项目备选库，全面实施绩效管理，强化预算评审结果和绩效评价结果有效应用。</w:t>
      </w:r>
      <w:r>
        <w:rPr>
          <w:rFonts w:hint="eastAsia" w:ascii="仿宋_GB2312" w:hAnsi="仿宋_GB2312" w:eastAsia="仿宋_GB2312" w:cs="仿宋_GB2312"/>
          <w:b w:val="0"/>
          <w:bCs w:val="0"/>
          <w:color w:val="auto"/>
          <w:sz w:val="32"/>
          <w:szCs w:val="32"/>
          <w:highlight w:val="none"/>
          <w:lang w:val="en-US" w:eastAsia="zh-CN"/>
        </w:rPr>
        <w:t>二是</w:t>
      </w:r>
      <w:r>
        <w:rPr>
          <w:rFonts w:hint="eastAsia" w:ascii="仿宋_GB2312" w:hAnsi="仿宋_GB2312" w:eastAsia="仿宋_GB2312" w:cs="仿宋_GB2312"/>
          <w:b w:val="0"/>
          <w:bCs w:val="0"/>
          <w:color w:val="auto"/>
          <w:sz w:val="32"/>
          <w:szCs w:val="32"/>
          <w:highlight w:val="none"/>
          <w:lang w:eastAsia="zh-CN"/>
        </w:rPr>
        <w:t>优化支出结构，突出保障重点支出。严格落实过“紧日子”要求，建立健全常态化过“紧日子”的长效机制。除部门履职必要的运转性支出外，对部门预算一般性支出按不低于10%予以压减，严控本级“三公”经费支出。将落实中央、省、市及县委、县政府重大决策部署作为预算安排的首要任务，优先保障民生和“六保”支出。三是强化预算执行，有效盘活存量资金。切实加快预算执行进度，防止资金沉淀，严控预算追加和调整事项。县级资金和两年以上的中、省和市资金实行零结转，年底统一收回财政统筹。四是加强信息公开，主动接受社会监督。依托“数字政府”公共财政综合管理平台，实现各级财政预算管理规则统一，业务管理系统贯通，规范预算管理流程，确保公开信息“找得到、看得懂、能监督”。</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楷体" w:hAnsi="楷体" w:eastAsia="楷体" w:cs="楷体"/>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（一）一般公共预算收支草案（附件5）</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2022年一般公共预算收入计划390,054万元，其中：地方一般公共预算收入计划84,635万元，比上年完成数增长6%；转移性收入计划281,445万元；上年结余收入15,974万元;新增一般债券收入计划8,000万元。</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2022年一般公共预算支出计划390,054万元。收支平衡，无结余。主要支出事项：</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1.一般公共服务支出计划57,949万元。</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2.国防支出计划173万元。</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3.公共安全支出计划12,231万元。</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4.教育支出计划72,196万元。</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5.科学技术支出计划707万元。</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6.文化旅游体育与传媒支出计划4,059万元。</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7.社会保障和就业支出计划74,652万元。</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8.卫生健康支出计划46,763万元。</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9.节能环保支出计划8,299万元。</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10.城乡社区支出计划10,620万元。</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11.农林水支出计划68,789万元。</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12.交通运输支出计划2,203万元。</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13.资源勘探工业信息等支出计划827万元。</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14.商业服务业等支出计划1,404万元。</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15.自然资源海洋气象等支出计划10,720万元。</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16.住房保障支出计划7,810万元。</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17.粮油物资储备支出计划486万元。</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18.灾害防治及应急管理支出计划1,627万元。</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19.预备费支出计划1,000万元。</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20.债务发行费用支出计划20万元。</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21.债务付息支出计划1,840万元。</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22.其他支出计划305万元。</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default"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23.转移性支出5,374万元。</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楷体" w:hAnsi="楷体" w:eastAsia="楷体" w:cs="楷体"/>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（二）政府性基金收支预算草案（附件6）</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2022年政府性基金收入计划139,723万元，其中：本级基金收入计划66,900万元，转移性收入计划72,823万元。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FF0000"/>
          <w:kern w:val="0"/>
          <w:sz w:val="32"/>
          <w:szCs w:val="32"/>
          <w:highlight w:val="none"/>
          <w:lang w:eastAsia="zh-CN" w:bidi="ar"/>
        </w:rPr>
      </w:pPr>
      <w:r>
        <w:rPr>
          <w:rFonts w:hint="eastAsia" w:ascii="仿宋_GB2312" w:hAnsi="仿宋" w:eastAsia="仿宋_GB2312" w:cs="仿宋"/>
          <w:color w:val="auto"/>
          <w:kern w:val="2"/>
          <w:sz w:val="32"/>
          <w:szCs w:val="32"/>
          <w:highlight w:val="none"/>
          <w:lang w:val="en-US" w:eastAsia="zh-CN" w:bidi="ar-SA"/>
        </w:rPr>
        <w:t>2022年政府性基金支出计划139,723万元,收支平衡，无结余。主要支出事项：</w:t>
      </w:r>
      <w:r>
        <w:rPr>
          <w:rFonts w:hint="eastAsia" w:ascii="仿宋_GB2312" w:hAnsi="仿宋_GB2312" w:eastAsia="仿宋_GB2312" w:cs="仿宋_GB2312"/>
          <w:color w:val="auto"/>
          <w:kern w:val="0"/>
          <w:sz w:val="32"/>
          <w:szCs w:val="32"/>
          <w:highlight w:val="none"/>
          <w:lang w:eastAsia="zh-CN" w:bidi="ar"/>
        </w:rPr>
        <w:t>征地和拆迁补偿支出（本级）计划</w:t>
      </w:r>
      <w:r>
        <w:rPr>
          <w:rFonts w:hint="eastAsia" w:ascii="仿宋_GB2312" w:hAnsi="仿宋_GB2312" w:eastAsia="仿宋_GB2312" w:cs="仿宋_GB2312"/>
          <w:color w:val="auto"/>
          <w:kern w:val="0"/>
          <w:sz w:val="32"/>
          <w:szCs w:val="32"/>
          <w:highlight w:val="none"/>
          <w:lang w:val="en-US" w:eastAsia="zh-CN" w:bidi="ar"/>
        </w:rPr>
        <w:t>30,000</w:t>
      </w:r>
      <w:r>
        <w:rPr>
          <w:rFonts w:hint="eastAsia" w:ascii="仿宋_GB2312" w:hAnsi="仿宋_GB2312" w:eastAsia="仿宋_GB2312" w:cs="仿宋_GB2312"/>
          <w:color w:val="auto"/>
          <w:kern w:val="0"/>
          <w:sz w:val="32"/>
          <w:szCs w:val="32"/>
          <w:highlight w:val="none"/>
          <w:lang w:eastAsia="zh-CN" w:bidi="ar"/>
        </w:rPr>
        <w:t>万元、征地和拆迁补偿支出（高速公路补偿）计划</w:t>
      </w:r>
      <w:r>
        <w:rPr>
          <w:rFonts w:hint="eastAsia" w:ascii="仿宋_GB2312" w:hAnsi="仿宋_GB2312" w:eastAsia="仿宋_GB2312" w:cs="仿宋_GB2312"/>
          <w:color w:val="auto"/>
          <w:kern w:val="0"/>
          <w:sz w:val="32"/>
          <w:szCs w:val="32"/>
          <w:highlight w:val="none"/>
          <w:lang w:val="en-US" w:eastAsia="zh-CN" w:bidi="ar"/>
        </w:rPr>
        <w:t>1</w:t>
      </w: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color w:val="auto"/>
          <w:kern w:val="0"/>
          <w:sz w:val="32"/>
          <w:szCs w:val="32"/>
          <w:highlight w:val="none"/>
          <w:lang w:val="en-US" w:eastAsia="zh-CN" w:bidi="ar"/>
        </w:rPr>
        <w:t>000</w:t>
      </w:r>
      <w:r>
        <w:rPr>
          <w:rFonts w:hint="eastAsia" w:ascii="仿宋_GB2312" w:hAnsi="仿宋_GB2312" w:eastAsia="仿宋_GB2312" w:cs="仿宋_GB2312"/>
          <w:color w:val="auto"/>
          <w:kern w:val="0"/>
          <w:sz w:val="32"/>
          <w:szCs w:val="32"/>
          <w:highlight w:val="none"/>
          <w:lang w:eastAsia="zh-CN" w:bidi="ar"/>
        </w:rPr>
        <w:t>万元、国有土地使用权出让收入安排的支出计划</w:t>
      </w:r>
      <w:r>
        <w:rPr>
          <w:rFonts w:hint="eastAsia" w:ascii="仿宋_GB2312" w:hAnsi="仿宋_GB2312" w:eastAsia="仿宋_GB2312" w:cs="仿宋_GB2312"/>
          <w:color w:val="auto"/>
          <w:kern w:val="0"/>
          <w:sz w:val="32"/>
          <w:szCs w:val="32"/>
          <w:highlight w:val="none"/>
          <w:lang w:val="en-US" w:eastAsia="zh-CN" w:bidi="ar"/>
        </w:rPr>
        <w:t>23,107万元</w:t>
      </w:r>
      <w:r>
        <w:rPr>
          <w:rFonts w:hint="eastAsia" w:ascii="仿宋_GB2312" w:hAnsi="仿宋_GB2312" w:eastAsia="仿宋_GB2312" w:cs="仿宋_GB2312"/>
          <w:color w:val="auto"/>
          <w:kern w:val="0"/>
          <w:sz w:val="32"/>
          <w:szCs w:val="32"/>
          <w:highlight w:val="none"/>
          <w:lang w:eastAsia="zh-CN" w:bidi="ar"/>
        </w:rPr>
        <w:t>；国有土地收益基金收入安排的支出</w:t>
      </w:r>
      <w:r>
        <w:rPr>
          <w:rFonts w:hint="eastAsia" w:ascii="仿宋_GB2312" w:hAnsi="仿宋_GB2312" w:eastAsia="仿宋_GB2312" w:cs="仿宋_GB2312"/>
          <w:color w:val="auto"/>
          <w:kern w:val="0"/>
          <w:sz w:val="32"/>
          <w:szCs w:val="32"/>
          <w:highlight w:val="none"/>
          <w:lang w:val="en-US" w:eastAsia="zh-CN" w:bidi="ar"/>
        </w:rPr>
        <w:t>1,100万元；农业土地开发资金收入安排的支出260万元；</w:t>
      </w:r>
      <w:r>
        <w:rPr>
          <w:rFonts w:hint="eastAsia" w:ascii="仿宋_GB2312" w:hAnsi="仿宋_GB2312" w:eastAsia="仿宋_GB2312" w:cs="仿宋_GB2312"/>
          <w:color w:val="auto"/>
          <w:kern w:val="0"/>
          <w:sz w:val="32"/>
          <w:szCs w:val="32"/>
          <w:highlight w:val="none"/>
          <w:lang w:eastAsia="zh-CN" w:bidi="ar"/>
        </w:rPr>
        <w:t>城市基础设施配套费收入安排的支出计划</w:t>
      </w:r>
      <w:r>
        <w:rPr>
          <w:rFonts w:hint="eastAsia" w:ascii="仿宋_GB2312" w:hAnsi="仿宋_GB2312" w:eastAsia="仿宋_GB2312" w:cs="仿宋_GB2312"/>
          <w:color w:val="auto"/>
          <w:kern w:val="0"/>
          <w:sz w:val="32"/>
          <w:szCs w:val="32"/>
          <w:highlight w:val="none"/>
          <w:lang w:val="en-US" w:eastAsia="zh-CN" w:bidi="ar"/>
        </w:rPr>
        <w:t>4,000</w:t>
      </w:r>
      <w:r>
        <w:rPr>
          <w:rFonts w:hint="eastAsia" w:ascii="仿宋_GB2312" w:hAnsi="仿宋_GB2312" w:eastAsia="仿宋_GB2312" w:cs="仿宋_GB2312"/>
          <w:color w:val="auto"/>
          <w:kern w:val="0"/>
          <w:sz w:val="32"/>
          <w:szCs w:val="32"/>
          <w:highlight w:val="none"/>
          <w:lang w:eastAsia="zh-CN" w:bidi="ar"/>
        </w:rPr>
        <w:t>万元；污水处理费收入安排的支出</w:t>
      </w:r>
      <w:r>
        <w:rPr>
          <w:rFonts w:hint="eastAsia" w:ascii="仿宋_GB2312" w:hAnsi="仿宋_GB2312" w:eastAsia="仿宋_GB2312" w:cs="仿宋_GB2312"/>
          <w:color w:val="auto"/>
          <w:kern w:val="0"/>
          <w:sz w:val="32"/>
          <w:szCs w:val="32"/>
          <w:highlight w:val="none"/>
          <w:lang w:val="en-US" w:eastAsia="zh-CN" w:bidi="ar"/>
        </w:rPr>
        <w:t>400万元；</w:t>
      </w:r>
      <w:r>
        <w:rPr>
          <w:rFonts w:hint="eastAsia" w:ascii="仿宋_GB2312" w:hAnsi="仿宋_GB2312" w:eastAsia="仿宋_GB2312" w:cs="仿宋_GB2312"/>
          <w:color w:val="auto"/>
          <w:kern w:val="0"/>
          <w:sz w:val="32"/>
          <w:szCs w:val="32"/>
          <w:highlight w:val="none"/>
          <w:lang w:eastAsia="zh-CN" w:bidi="ar"/>
        </w:rPr>
        <w:t>债务付息支出</w:t>
      </w:r>
      <w:r>
        <w:rPr>
          <w:rFonts w:hint="eastAsia" w:ascii="仿宋_GB2312" w:hAnsi="仿宋_GB2312" w:eastAsia="仿宋_GB2312" w:cs="仿宋_GB2312"/>
          <w:color w:val="auto"/>
          <w:kern w:val="0"/>
          <w:sz w:val="32"/>
          <w:szCs w:val="32"/>
          <w:highlight w:val="none"/>
          <w:lang w:val="en-US" w:eastAsia="zh-CN" w:bidi="ar"/>
        </w:rPr>
        <w:t>8,000</w:t>
      </w:r>
      <w:r>
        <w:rPr>
          <w:rFonts w:hint="eastAsia" w:ascii="仿宋_GB2312" w:hAnsi="仿宋_GB2312" w:eastAsia="仿宋_GB2312" w:cs="仿宋_GB2312"/>
          <w:color w:val="auto"/>
          <w:kern w:val="0"/>
          <w:sz w:val="32"/>
          <w:szCs w:val="32"/>
          <w:highlight w:val="none"/>
          <w:lang w:eastAsia="zh-CN" w:bidi="ar"/>
        </w:rPr>
        <w:t>万元；债务还本支出</w:t>
      </w:r>
      <w:r>
        <w:rPr>
          <w:rFonts w:hint="eastAsia" w:ascii="仿宋_GB2312" w:hAnsi="仿宋_GB2312" w:eastAsia="仿宋_GB2312" w:cs="仿宋_GB2312"/>
          <w:color w:val="auto"/>
          <w:kern w:val="0"/>
          <w:sz w:val="32"/>
          <w:szCs w:val="32"/>
          <w:highlight w:val="none"/>
          <w:lang w:val="en-US" w:eastAsia="zh-CN" w:bidi="ar"/>
        </w:rPr>
        <w:t>616</w:t>
      </w:r>
      <w:r>
        <w:rPr>
          <w:rFonts w:hint="eastAsia" w:ascii="仿宋_GB2312" w:hAnsi="仿宋_GB2312" w:eastAsia="仿宋_GB2312" w:cs="仿宋_GB2312"/>
          <w:color w:val="auto"/>
          <w:kern w:val="0"/>
          <w:sz w:val="32"/>
          <w:szCs w:val="32"/>
          <w:highlight w:val="none"/>
          <w:lang w:eastAsia="zh-CN" w:bidi="ar"/>
        </w:rPr>
        <w:t>万元；</w:t>
      </w:r>
      <w:r>
        <w:rPr>
          <w:rFonts w:hint="eastAsia" w:ascii="仿宋_GB2312" w:hAnsi="仿宋_GB2312" w:eastAsia="仿宋_GB2312" w:cs="仿宋_GB2312"/>
          <w:color w:val="auto"/>
          <w:kern w:val="0"/>
          <w:sz w:val="32"/>
          <w:szCs w:val="32"/>
          <w:highlight w:val="none"/>
          <w:lang w:val="en-US" w:eastAsia="zh-CN" w:bidi="ar"/>
        </w:rPr>
        <w:t>其他地方自行试点项目收益专项债券收入安排的支出计划70,000万元</w:t>
      </w:r>
      <w:r>
        <w:rPr>
          <w:rFonts w:hint="eastAsia" w:ascii="仿宋_GB2312" w:hAnsi="仿宋_GB2312" w:eastAsia="仿宋_GB2312" w:cs="仿宋_GB2312"/>
          <w:color w:val="auto"/>
          <w:kern w:val="0"/>
          <w:sz w:val="32"/>
          <w:szCs w:val="32"/>
          <w:highlight w:val="none"/>
          <w:lang w:eastAsia="zh-CN" w:bidi="ar"/>
        </w:rPr>
        <w:t>等。</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楷体" w:hAnsi="楷体" w:eastAsia="楷体" w:cs="楷体"/>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（三）国有资本经营收支预算草案（附件7）</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2022年国有资本经营预算收入计划1,190万元，其中：利润收入计划290万元，股利、股息收入计划900万元。</w:t>
      </w:r>
      <w:bookmarkStart w:id="0" w:name="_GoBack"/>
      <w:bookmarkEnd w:id="0"/>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2022年国有资本经营预算支出计划1,190万元，收支平衡，无结余。主要是:其他国有资本经营预算支出1,190万元。</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楷体" w:hAnsi="楷体" w:eastAsia="楷体" w:cs="楷体"/>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（四）社会保险基金收支预算草案（附件8）</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2022年社会保险基金总收入计划40,747.09万元。其中：征集收入计划25,210.79万元；财政补贴收入计划14,000万元；利息收入计划112.08万元；上级补助收入计划419.22万元；转移收入计划1,005万元。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2022年社会保险基金总支出计划41,217.62万元，结余-470.53万元。主要是社会保险待遇支出计划30,840.05万元；上解上级支出计划10,077.57万元；转移支出计划300万元。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上年结余收入4,425.52万元，年末社会保险基金滚存结余3,954.99万元。</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楷体" w:hAnsi="楷体" w:eastAsia="楷体" w:cs="楷体"/>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（五）2022年政府债务偿债预算及第1批债务限额情况</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2022年政府偿债资金计划筹集5，227万元,其中一般公共预算安排4,611万元,主要用于归还地方政府性一般债券本金、利息及还本付息手续费。基金预算安排616万元，主要用于归还地方政府性专项债券债券本金、利息及还本付息手续费。</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default" w:ascii="仿宋_GB2312" w:hAnsi="仿宋" w:eastAsia="仿宋_GB2312" w:cs="仿宋"/>
          <w:color w:val="auto"/>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2022年第1批债券我县新增债务限额45,000万元。</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黑体" w:hAnsi="微软雅黑" w:eastAsia="黑体"/>
          <w:color w:val="auto"/>
          <w:sz w:val="32"/>
          <w:szCs w:val="32"/>
          <w:highlight w:val="none"/>
        </w:rPr>
      </w:pPr>
      <w:r>
        <w:rPr>
          <w:rStyle w:val="9"/>
          <w:rFonts w:hint="eastAsia" w:ascii="黑体" w:hAnsi="黑体" w:eastAsia="黑体" w:cs="黑体"/>
          <w:b w:val="0"/>
          <w:bCs/>
          <w:color w:val="auto"/>
          <w:sz w:val="32"/>
          <w:szCs w:val="32"/>
          <w:highlight w:val="none"/>
          <w:lang w:eastAsia="zh-CN"/>
        </w:rPr>
        <w:t>四</w:t>
      </w:r>
      <w:r>
        <w:rPr>
          <w:rStyle w:val="9"/>
          <w:rFonts w:hint="eastAsia" w:ascii="黑体" w:hAnsi="黑体" w:eastAsia="黑体" w:cs="黑体"/>
          <w:b w:val="0"/>
          <w:bCs/>
          <w:color w:val="auto"/>
          <w:sz w:val="32"/>
          <w:szCs w:val="32"/>
          <w:highlight w:val="none"/>
        </w:rPr>
        <w:t>、完成</w:t>
      </w:r>
      <w:r>
        <w:rPr>
          <w:rStyle w:val="9"/>
          <w:rFonts w:hint="eastAsia" w:ascii="黑体" w:hAnsi="黑体" w:eastAsia="黑体" w:cs="黑体"/>
          <w:b w:val="0"/>
          <w:bCs/>
          <w:color w:val="auto"/>
          <w:sz w:val="32"/>
          <w:szCs w:val="32"/>
          <w:highlight w:val="none"/>
          <w:lang w:eastAsia="zh-CN"/>
        </w:rPr>
        <w:t>202</w:t>
      </w:r>
      <w:r>
        <w:rPr>
          <w:rStyle w:val="9"/>
          <w:rFonts w:hint="eastAsia" w:ascii="黑体" w:hAnsi="黑体" w:eastAsia="黑体" w:cs="黑体"/>
          <w:b w:val="0"/>
          <w:bCs/>
          <w:color w:val="auto"/>
          <w:sz w:val="32"/>
          <w:szCs w:val="32"/>
          <w:highlight w:val="none"/>
          <w:lang w:val="en-US" w:eastAsia="zh-CN"/>
        </w:rPr>
        <w:t>2</w:t>
      </w:r>
      <w:r>
        <w:rPr>
          <w:rStyle w:val="9"/>
          <w:rFonts w:hint="eastAsia" w:ascii="黑体" w:hAnsi="黑体" w:eastAsia="黑体" w:cs="黑体"/>
          <w:b w:val="0"/>
          <w:bCs/>
          <w:color w:val="auto"/>
          <w:sz w:val="32"/>
          <w:szCs w:val="32"/>
          <w:highlight w:val="none"/>
        </w:rPr>
        <w:t>年预算工作的主要措施</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firstLine="720"/>
        <w:jc w:val="both"/>
        <w:textAlignment w:val="auto"/>
        <w:outlineLvl w:val="9"/>
        <w:rPr>
          <w:rFonts w:hint="eastAsia" w:ascii="仿宋_GB2312" w:hAnsi="仿宋" w:eastAsia="仿宋_GB2312" w:cs="仿宋"/>
          <w:color w:val="FF0000"/>
          <w:kern w:val="2"/>
          <w:sz w:val="32"/>
          <w:szCs w:val="32"/>
          <w:highlight w:val="none"/>
          <w:lang w:val="en-US" w:eastAsia="zh-CN" w:bidi="ar-SA"/>
        </w:rPr>
      </w:pPr>
      <w:r>
        <w:rPr>
          <w:rFonts w:hint="eastAsia" w:ascii="仿宋_GB2312" w:hAnsi="仿宋" w:eastAsia="仿宋_GB2312" w:cs="仿宋"/>
          <w:color w:val="auto"/>
          <w:kern w:val="2"/>
          <w:sz w:val="32"/>
          <w:szCs w:val="32"/>
          <w:highlight w:val="none"/>
          <w:lang w:val="en-US" w:eastAsia="zh-CN" w:bidi="ar-SA"/>
        </w:rPr>
        <w:t>为确保收支预算和各项财政目标的实现，保障财政稳定运行，2022年进一步抓好以下几个方面的</w:t>
      </w:r>
      <w:r>
        <w:rPr>
          <w:rFonts w:hint="default" w:ascii="仿宋_GB2312" w:hAnsi="仿宋" w:eastAsia="仿宋_GB2312" w:cs="仿宋"/>
          <w:color w:val="auto"/>
          <w:kern w:val="2"/>
          <w:sz w:val="32"/>
          <w:szCs w:val="32"/>
          <w:highlight w:val="none"/>
          <w:lang w:val="en-US" w:eastAsia="zh-CN" w:bidi="ar-SA"/>
        </w:rPr>
        <w:t>工作：</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（一）积极作为，提升财政保障水平和能力，全力支持高质量发展。</w:t>
      </w:r>
      <w:r>
        <w:rPr>
          <w:rFonts w:hint="eastAsia" w:ascii="仿宋_GB2312" w:hAnsi="仿宋" w:eastAsia="仿宋_GB2312" w:cs="仿宋"/>
          <w:color w:val="auto"/>
          <w:kern w:val="2"/>
          <w:sz w:val="32"/>
          <w:szCs w:val="32"/>
          <w:highlight w:val="none"/>
          <w:lang w:val="en-US" w:eastAsia="zh-CN" w:bidi="ar-SA"/>
        </w:rPr>
        <w:t>一是强化财源培植力度。综合运用财政资金及政策手段，重点支持支柱性产业发展，发挥财政资金“四两拨千斤”的杠杆作用。全面落实减税降费政策，减轻企业负担，优化营商环境，提升实体经济活力，壮大基础财源，确保财政收入持续增长。二是加强税收征管，努力提升税收管理水平。坚持推进税收制度改革，健全科学规范的税收征管体系，严格依法征税。进一步完善协税护税机制，完善考核办法，提质增效。三是规范和加强非税收入管理，实时动态监控入库情况。压实执收单位主体责任，严格执行“收支两条线”管理，堵塞征管漏洞。定期分析研判收入形势，及时采取有效措施，确保完成年度预算目标。四是强化意识，积极争取上级资金。做好前期经费保障，积极配合主管单位谋划项目，做实、做细市县项目库，开展项目申报和专项资金申请，大力争取上级各类资金和资源。</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zh-CN" w:eastAsia="zh-CN" w:bidi="ar-SA"/>
        </w:rPr>
      </w:pPr>
      <w:r>
        <w:rPr>
          <w:rFonts w:hint="eastAsia" w:ascii="楷体" w:hAnsi="楷体" w:eastAsia="楷体" w:cs="楷体"/>
          <w:color w:val="auto"/>
          <w:kern w:val="2"/>
          <w:sz w:val="32"/>
          <w:szCs w:val="32"/>
          <w:highlight w:val="none"/>
          <w:lang w:val="zh-CN" w:eastAsia="zh-CN" w:bidi="ar-SA"/>
        </w:rPr>
        <w:t>（二）强化“节支”，有效配置，充分发挥财政资金刀刃效应。</w:t>
      </w:r>
      <w:r>
        <w:rPr>
          <w:rFonts w:hint="eastAsia" w:ascii="仿宋_GB2312" w:hAnsi="仿宋" w:eastAsia="仿宋_GB2312" w:cs="仿宋"/>
          <w:color w:val="auto"/>
          <w:kern w:val="2"/>
          <w:sz w:val="32"/>
          <w:szCs w:val="32"/>
          <w:highlight w:val="none"/>
          <w:lang w:val="zh-CN" w:eastAsia="zh-CN" w:bidi="ar-SA"/>
        </w:rPr>
        <w:t>进一步树立过“紧日子”思想，任何时候都不能大手大脚花钱。一是落实过“紧日子”要求。完善能增能减、有保有压的分配机制，深度调整支出结构，深度挖掘内部潜力，从严从紧管好财政支出。二是调整支出结构。更加突出政策重点，把钱用在刀刃上，投向先进技术、基础设施、民生建设短板等领域。三是强化绩效管理。强化预算绩效管理保障体系，构建全方位、全过程、全覆盖的预算绩效管理格局，使绩效融入预算，让绩效服务预算，牢固树立“花钱必问效，无效必问责”的理念。四是统筹保障基层运转。坚持全县一盘棋，积极向上争取资金支持，增强托底保障能力，切实兜牢“三保”底线。定期对“三保”投入进行梳理，规范过高承诺、过度保障的支出政策，努力做到民生保障当期可承受，未来可持续，实现财政可持续发展。</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zh-CN" w:eastAsia="zh-CN" w:bidi="ar-SA"/>
        </w:rPr>
        <w:t>（三）</w:t>
      </w:r>
      <w:r>
        <w:rPr>
          <w:rFonts w:hint="eastAsia" w:ascii="楷体" w:hAnsi="楷体" w:eastAsia="楷体" w:cs="楷体"/>
          <w:color w:val="auto"/>
          <w:kern w:val="2"/>
          <w:sz w:val="32"/>
          <w:szCs w:val="32"/>
          <w:highlight w:val="none"/>
          <w:lang w:val="en-US" w:eastAsia="zh-CN" w:bidi="ar-SA"/>
        </w:rPr>
        <w:t>进一步推进深化改革，完善财政制度建设。</w:t>
      </w:r>
      <w:r>
        <w:rPr>
          <w:rFonts w:hint="eastAsia" w:ascii="仿宋_GB2312" w:hAnsi="仿宋" w:eastAsia="仿宋_GB2312" w:cs="仿宋"/>
          <w:color w:val="auto"/>
          <w:kern w:val="2"/>
          <w:sz w:val="32"/>
          <w:szCs w:val="32"/>
          <w:highlight w:val="none"/>
          <w:lang w:val="en-US" w:eastAsia="zh-CN" w:bidi="ar-SA"/>
        </w:rPr>
        <w:t>一是加强预算规范管理。做实财政项目备选库，完善预算评审、行政决策等项目前期审批管理工作，建立健全项目库滚动管理机制，强化项目库应用刚性约束。二是持续推进财政制度改革。进一步完善财政资金使用、管理、监督等环节全过程的工作机制和制度，提高资金使用效益，确保财政预算顺利执行，促进预算管理工作科学化、规范化、法制化。三是健全预算绩效管理。完善预算绩效目标管理办法，硬化预算绩效管理约束，建立预算绩效评估体系和监管机制，明确责任主体，确保实现预算绩效管理全覆盖。四是加强国有企业监督管理工作。健全县属国有企业落实党的领导融入公司治理的机制，建立县属企业“三重一大”决策制度，进一步推进我县国企改革工作。五是加强国有企业资产经营管理。对国有企业的资产、土地等资源进一步摸底与梳理，加强国有企业统一经营管理的门店等资产的监督管理，努力减少国有资产的闲置情况，实现资产有效利用。</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color w:val="auto"/>
          <w:kern w:val="2"/>
          <w:sz w:val="32"/>
          <w:szCs w:val="32"/>
          <w:highlight w:val="none"/>
          <w:lang w:val="zh-CN" w:eastAsia="zh-CN" w:bidi="ar-SA"/>
        </w:rPr>
      </w:pPr>
      <w:r>
        <w:rPr>
          <w:rFonts w:hint="eastAsia" w:ascii="楷体" w:hAnsi="楷体" w:eastAsia="楷体" w:cs="楷体"/>
          <w:color w:val="auto"/>
          <w:kern w:val="2"/>
          <w:sz w:val="32"/>
          <w:szCs w:val="32"/>
          <w:highlight w:val="none"/>
          <w:lang w:val="zh-CN" w:eastAsia="zh-CN" w:bidi="ar-SA"/>
        </w:rPr>
        <w:t>（四）狠抓监管，防范风险，充分发挥财政监督作用。</w:t>
      </w:r>
      <w:r>
        <w:rPr>
          <w:rFonts w:hint="eastAsia" w:ascii="仿宋_GB2312" w:hAnsi="仿宋" w:eastAsia="仿宋_GB2312" w:cs="仿宋"/>
          <w:color w:val="auto"/>
          <w:kern w:val="2"/>
          <w:sz w:val="32"/>
          <w:szCs w:val="32"/>
          <w:highlight w:val="none"/>
          <w:lang w:val="zh-CN" w:eastAsia="zh-CN" w:bidi="ar-SA"/>
        </w:rPr>
        <w:t>进一步强化财政监督作用，坚决防范化解运行风险底线，建立科学、长效的监督机制。一是加强财政资金监管。强化内部控制制度建设，加强政府采购、国有资产、财政投资项目评审管理，深入开展财政财务专项检查，进一步规范预算单位财政资金使用行为，提高资金使用效益。二是着力防范债务风险。要进一步完善预警机制和责任追究机制，切实规范政府举债及融资行为；同时提高债券资金使用效益，不断降低融资成本，调整优化融资结构；积极探索新的投融资模式，减少政府资源和资金的消耗，合理做好资源配置，推动政府主导、市场运作、社会参与、规范有序的PPP投融资格局，撬动社会资本投入重点领域和薄弱环节。三是切实防范金融风险。多措并举，严防非法集资风险，加强预警排查，注重源头预防；持续保持全县防范打击非法金融活动的高压态势，守住不发生区域性风险、不引发系统性风险的底线。</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default" w:ascii="仿宋_GB2312" w:hAnsi="仿宋" w:eastAsia="仿宋_GB2312" w:cs="仿宋"/>
          <w:color w:val="auto"/>
          <w:kern w:val="2"/>
          <w:sz w:val="32"/>
          <w:szCs w:val="32"/>
          <w:highlight w:val="none"/>
          <w:lang w:val="zh-CN" w:eastAsia="zh-CN" w:bidi="ar-SA"/>
        </w:rPr>
      </w:pPr>
      <w:r>
        <w:rPr>
          <w:rFonts w:hint="eastAsia" w:ascii="楷体" w:hAnsi="楷体" w:eastAsia="楷体" w:cs="楷体"/>
          <w:color w:val="auto"/>
          <w:kern w:val="2"/>
          <w:sz w:val="32"/>
          <w:szCs w:val="32"/>
          <w:highlight w:val="none"/>
          <w:lang w:val="zh-CN" w:eastAsia="zh-CN" w:bidi="ar-SA"/>
        </w:rPr>
        <w:t>（五）夯实基础，抓牢队伍建设，提升财政整体执业水平。</w:t>
      </w:r>
      <w:r>
        <w:rPr>
          <w:rFonts w:hint="default" w:ascii="仿宋_GB2312" w:hAnsi="仿宋" w:eastAsia="仿宋_GB2312" w:cs="仿宋"/>
          <w:color w:val="auto"/>
          <w:kern w:val="2"/>
          <w:sz w:val="32"/>
          <w:szCs w:val="32"/>
          <w:highlight w:val="none"/>
          <w:lang w:val="zh-CN" w:eastAsia="zh-CN" w:bidi="ar-SA"/>
        </w:rPr>
        <w:t>一是突出作风建设，规范行政行为。大力加强财政干部队伍作风建设，深入开展“不担当、不作为、慢作为”作风突出问题专项整治，广泛开展文明行为规范教育，以深化制度改革为契机，改进服务，提高效率。二是增强服务意识，强化服务职能。强化财政干部为人民服务的宗旨意识，以科学发展、和谐发展为出发点和落脚点，自觉做到主动服务、急事急办、特事特办，不断增强大局观念、创新观念、服务观念、法治观念和责任观念。三是要运用好</w:t>
      </w:r>
      <w:r>
        <w:rPr>
          <w:rFonts w:hint="eastAsia" w:ascii="仿宋_GB2312" w:hAnsi="仿宋" w:eastAsia="仿宋_GB2312" w:cs="仿宋"/>
          <w:color w:val="auto"/>
          <w:kern w:val="2"/>
          <w:sz w:val="32"/>
          <w:szCs w:val="32"/>
          <w:highlight w:val="none"/>
          <w:lang w:val="zh-CN" w:eastAsia="zh-CN" w:bidi="ar-SA"/>
        </w:rPr>
        <w:t>党史学习教育</w:t>
      </w:r>
      <w:r>
        <w:rPr>
          <w:rFonts w:hint="default" w:ascii="仿宋_GB2312" w:hAnsi="仿宋" w:eastAsia="仿宋_GB2312" w:cs="仿宋"/>
          <w:color w:val="auto"/>
          <w:kern w:val="2"/>
          <w:sz w:val="32"/>
          <w:szCs w:val="32"/>
          <w:highlight w:val="none"/>
          <w:lang w:val="zh-CN" w:eastAsia="zh-CN" w:bidi="ar-SA"/>
        </w:rPr>
        <w:t>成果，坚持问题导向，开好专题民主生活会和组织生活会，以刮骨疗伤的勇气、坚韧不拔的韧劲深刻开展自我革命。四是要正确处理“党建”与“业务”的关系，牢固树立“围绕中心工作抓党建，抓好党建促发展”的工作理念，使党建工作与业务工作相互协调，互相促进，切实把党建成果转化为推动财政工作的强大动力。</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各位代表，在新的一年，我们将在县委、县政府的正确领导下，在县人大和县政协的监督支持下，开拓创新、攻坚克难，确保圆满完成全年财政预算任务，为推动全县经济社会发展作出新的贡献！</w:t>
      </w: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eastAsia="仿宋_GB2312"/>
          <w:color w:val="FF0000"/>
          <w:sz w:val="32"/>
          <w:szCs w:val="32"/>
          <w:highlight w:val="none"/>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eastAsia="仿宋_GB2312"/>
          <w:color w:val="FF0000"/>
          <w:sz w:val="32"/>
          <w:szCs w:val="32"/>
          <w:highlight w:val="none"/>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eastAsia="仿宋_GB2312"/>
          <w:color w:val="FF0000"/>
          <w:sz w:val="32"/>
          <w:szCs w:val="32"/>
          <w:highlight w:val="none"/>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outlineLvl w:val="9"/>
        <w:rPr>
          <w:rFonts w:hint="eastAsia" w:ascii="仿宋_GB2312" w:eastAsia="仿宋_GB2312"/>
          <w:color w:val="FF0000"/>
          <w:sz w:val="32"/>
          <w:szCs w:val="32"/>
          <w:highlight w:val="none"/>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outlineLvl w:val="9"/>
        <w:rPr>
          <w:rFonts w:hint="eastAsia" w:ascii="仿宋_GB2312" w:eastAsia="仿宋_GB2312"/>
          <w:color w:val="FF0000"/>
          <w:sz w:val="32"/>
          <w:szCs w:val="32"/>
          <w:highlight w:val="none"/>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outlineLvl w:val="9"/>
        <w:rPr>
          <w:rFonts w:hint="eastAsia" w:ascii="仿宋_GB2312" w:eastAsia="仿宋_GB2312"/>
          <w:color w:val="FF0000"/>
          <w:sz w:val="32"/>
          <w:szCs w:val="32"/>
          <w:highlight w:val="none"/>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outlineLvl w:val="9"/>
        <w:rPr>
          <w:rFonts w:hint="eastAsia" w:ascii="仿宋_GB2312" w:eastAsia="仿宋_GB2312"/>
          <w:color w:val="FF0000"/>
          <w:sz w:val="32"/>
          <w:szCs w:val="32"/>
          <w:highlight w:val="none"/>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outlineLvl w:val="9"/>
        <w:rPr>
          <w:rFonts w:hint="eastAsia" w:ascii="仿宋_GB2312" w:eastAsia="仿宋_GB2312"/>
          <w:color w:val="FF0000"/>
          <w:sz w:val="32"/>
          <w:szCs w:val="32"/>
          <w:highlight w:val="none"/>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outlineLvl w:val="9"/>
        <w:rPr>
          <w:rFonts w:hint="eastAsia" w:ascii="仿宋_GB2312" w:eastAsia="仿宋_GB2312"/>
          <w:color w:val="FF0000"/>
          <w:sz w:val="32"/>
          <w:szCs w:val="32"/>
          <w:highlight w:val="none"/>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outlineLvl w:val="9"/>
        <w:rPr>
          <w:rFonts w:hint="eastAsia" w:ascii="仿宋_GB2312" w:eastAsia="仿宋_GB2312"/>
          <w:color w:val="FF0000"/>
          <w:sz w:val="32"/>
          <w:szCs w:val="32"/>
          <w:highlight w:val="none"/>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outlineLvl w:val="9"/>
        <w:rPr>
          <w:rFonts w:hint="eastAsia" w:ascii="仿宋_GB2312" w:eastAsia="仿宋_GB2312"/>
          <w:color w:val="FF0000"/>
          <w:sz w:val="32"/>
          <w:szCs w:val="32"/>
          <w:highlight w:val="none"/>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outlineLvl w:val="9"/>
        <w:rPr>
          <w:rFonts w:hint="eastAsia" w:ascii="仿宋_GB2312" w:eastAsia="仿宋_GB2312"/>
          <w:color w:val="FF0000"/>
          <w:sz w:val="32"/>
          <w:szCs w:val="32"/>
          <w:highlight w:val="none"/>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outlineLvl w:val="9"/>
        <w:rPr>
          <w:rFonts w:hint="eastAsia" w:ascii="仿宋_GB2312" w:eastAsia="仿宋_GB2312"/>
          <w:color w:val="FF0000"/>
          <w:sz w:val="32"/>
          <w:szCs w:val="32"/>
          <w:highlight w:val="none"/>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outlineLvl w:val="9"/>
        <w:rPr>
          <w:rFonts w:hint="eastAsia" w:ascii="仿宋_GB2312" w:eastAsia="仿宋_GB2312"/>
          <w:color w:val="FF0000"/>
          <w:sz w:val="32"/>
          <w:szCs w:val="32"/>
          <w:highlight w:val="none"/>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outlineLvl w:val="9"/>
        <w:rPr>
          <w:rFonts w:hint="eastAsia" w:ascii="仿宋_GB2312" w:eastAsia="仿宋_GB2312"/>
          <w:color w:val="FF0000"/>
          <w:sz w:val="32"/>
          <w:szCs w:val="32"/>
          <w:highlight w:val="none"/>
          <w:lang w:val="en-US" w:eastAsia="zh-CN"/>
        </w:rPr>
      </w:pPr>
    </w:p>
    <w:p>
      <w:pPr>
        <w:pStyle w:val="3"/>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 w:eastAsia="仿宋_GB2312" w:cs="仿宋"/>
          <w:color w:val="auto"/>
          <w:sz w:val="32"/>
          <w:szCs w:val="32"/>
          <w:highlight w:val="none"/>
        </w:rPr>
      </w:pPr>
      <w:r>
        <w:rPr>
          <w:rFonts w:hint="eastAsia" w:ascii="仿宋_GB2312" w:hAnsi="仿宋" w:eastAsia="仿宋_GB2312" w:cs="仿宋"/>
          <w:color w:val="auto"/>
          <w:sz w:val="32"/>
          <w:szCs w:val="32"/>
          <w:highlight w:val="none"/>
        </w:rPr>
        <w:t>名词解释：</w:t>
      </w:r>
    </w:p>
    <w:p>
      <w:pPr>
        <w:pStyle w:val="3"/>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 w:eastAsia="仿宋_GB2312" w:cs="仿宋"/>
          <w:color w:val="auto"/>
          <w:sz w:val="32"/>
          <w:szCs w:val="32"/>
          <w:highlight w:val="none"/>
        </w:rPr>
      </w:pPr>
      <w:r>
        <w:rPr>
          <w:rFonts w:hint="eastAsia" w:ascii="仿宋_GB2312" w:hAnsi="仿宋" w:eastAsia="仿宋_GB2312" w:cs="仿宋"/>
          <w:color w:val="auto"/>
          <w:sz w:val="32"/>
          <w:szCs w:val="32"/>
          <w:highlight w:val="none"/>
        </w:rPr>
        <w:t>①一般公共预算：是指以税收为主体的财政收入，安排用于保障和改善民生、推动经济社会发展、维护国家安全、维持国家机构正常运转等方面的收支预算。</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微软雅黑" w:eastAsia="仿宋_GB2312" w:cs="宋体"/>
          <w:color w:val="auto"/>
          <w:kern w:val="0"/>
          <w:sz w:val="32"/>
          <w:szCs w:val="32"/>
          <w:highlight w:val="none"/>
        </w:rPr>
      </w:pPr>
      <w:r>
        <w:rPr>
          <w:rFonts w:hint="eastAsia" w:ascii="仿宋_GB2312" w:hAnsi="仿宋" w:eastAsia="仿宋_GB2312" w:cs="仿宋"/>
          <w:color w:val="auto"/>
          <w:sz w:val="32"/>
          <w:szCs w:val="32"/>
          <w:highlight w:val="none"/>
        </w:rPr>
        <w:fldChar w:fldCharType="begin"/>
      </w:r>
      <w:r>
        <w:rPr>
          <w:rFonts w:hint="eastAsia" w:ascii="仿宋_GB2312" w:hAnsi="仿宋" w:eastAsia="仿宋_GB2312" w:cs="仿宋"/>
          <w:color w:val="auto"/>
          <w:sz w:val="32"/>
          <w:szCs w:val="32"/>
          <w:highlight w:val="none"/>
        </w:rPr>
        <w:instrText xml:space="preserve"> = 2 \* GB3 \* MERGEFORMAT </w:instrText>
      </w:r>
      <w:r>
        <w:rPr>
          <w:rFonts w:hint="eastAsia" w:ascii="仿宋_GB2312" w:hAnsi="仿宋" w:eastAsia="仿宋_GB2312" w:cs="仿宋"/>
          <w:color w:val="auto"/>
          <w:sz w:val="32"/>
          <w:szCs w:val="32"/>
          <w:highlight w:val="none"/>
        </w:rPr>
        <w:fldChar w:fldCharType="separate"/>
      </w:r>
      <w:r>
        <w:rPr>
          <w:rFonts w:hint="eastAsia" w:ascii="仿宋_GB2312" w:hAnsi="仿宋" w:eastAsia="仿宋_GB2312" w:cs="仿宋"/>
          <w:color w:val="auto"/>
          <w:sz w:val="32"/>
          <w:szCs w:val="32"/>
          <w:highlight w:val="none"/>
        </w:rPr>
        <w:t>②</w:t>
      </w:r>
      <w:r>
        <w:rPr>
          <w:rFonts w:hint="eastAsia" w:ascii="仿宋_GB2312" w:hAnsi="仿宋" w:eastAsia="仿宋_GB2312" w:cs="仿宋"/>
          <w:color w:val="auto"/>
          <w:sz w:val="32"/>
          <w:szCs w:val="32"/>
          <w:highlight w:val="none"/>
        </w:rPr>
        <w:fldChar w:fldCharType="end"/>
      </w:r>
      <w:r>
        <w:rPr>
          <w:rFonts w:hint="eastAsia" w:ascii="仿宋_GB2312" w:hAnsi="微软雅黑" w:eastAsia="仿宋_GB2312" w:cs="宋体"/>
          <w:color w:val="auto"/>
          <w:kern w:val="0"/>
          <w:sz w:val="32"/>
          <w:szCs w:val="32"/>
          <w:highlight w:val="none"/>
        </w:rPr>
        <w:t>税收收入：是指政府为履行其职能，凭借公共权力，按照法律规定的标准和程序，向经济单位和个人强制地、无偿地取得财政收入的一种形式。具有强制性、无偿性、固定性三大特征。在现代市场经济条件下，税收具有组织财政收入、调节经济和调节收入分配的基本职能。</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微软雅黑" w:eastAsia="仿宋_GB2312" w:cs="宋体"/>
          <w:color w:val="auto"/>
          <w:kern w:val="0"/>
          <w:sz w:val="32"/>
          <w:szCs w:val="32"/>
          <w:highlight w:val="none"/>
        </w:rPr>
      </w:pPr>
      <w:r>
        <w:rPr>
          <w:rFonts w:hint="eastAsia" w:ascii="仿宋_GB2312" w:hAnsi="仿宋" w:eastAsia="仿宋_GB2312" w:cs="仿宋"/>
          <w:color w:val="auto"/>
          <w:sz w:val="32"/>
          <w:szCs w:val="32"/>
          <w:highlight w:val="none"/>
        </w:rPr>
        <w:fldChar w:fldCharType="begin"/>
      </w:r>
      <w:r>
        <w:rPr>
          <w:rFonts w:hint="eastAsia" w:ascii="仿宋_GB2312" w:hAnsi="仿宋" w:eastAsia="仿宋_GB2312" w:cs="仿宋"/>
          <w:color w:val="auto"/>
          <w:sz w:val="32"/>
          <w:szCs w:val="32"/>
          <w:highlight w:val="none"/>
        </w:rPr>
        <w:instrText xml:space="preserve"> = 3 \* GB3 \* MERGEFORMAT </w:instrText>
      </w:r>
      <w:r>
        <w:rPr>
          <w:rFonts w:hint="eastAsia" w:ascii="仿宋_GB2312" w:hAnsi="仿宋" w:eastAsia="仿宋_GB2312" w:cs="仿宋"/>
          <w:color w:val="auto"/>
          <w:sz w:val="32"/>
          <w:szCs w:val="32"/>
          <w:highlight w:val="none"/>
        </w:rPr>
        <w:fldChar w:fldCharType="separate"/>
      </w:r>
      <w:r>
        <w:rPr>
          <w:rFonts w:hint="eastAsia" w:ascii="仿宋_GB2312" w:hAnsi="仿宋" w:eastAsia="仿宋_GB2312" w:cs="仿宋"/>
          <w:color w:val="auto"/>
          <w:sz w:val="32"/>
          <w:szCs w:val="32"/>
          <w:highlight w:val="none"/>
        </w:rPr>
        <w:t>③</w:t>
      </w:r>
      <w:r>
        <w:rPr>
          <w:rFonts w:hint="eastAsia" w:ascii="仿宋_GB2312" w:hAnsi="仿宋" w:eastAsia="仿宋_GB2312" w:cs="仿宋"/>
          <w:color w:val="auto"/>
          <w:sz w:val="32"/>
          <w:szCs w:val="32"/>
          <w:highlight w:val="none"/>
        </w:rPr>
        <w:fldChar w:fldCharType="end"/>
      </w:r>
      <w:r>
        <w:rPr>
          <w:rFonts w:hint="eastAsia" w:ascii="仿宋_GB2312" w:hAnsi="微软雅黑" w:eastAsia="仿宋_GB2312" w:cs="宋体"/>
          <w:color w:val="auto"/>
          <w:kern w:val="0"/>
          <w:sz w:val="32"/>
          <w:szCs w:val="32"/>
          <w:highlight w:val="none"/>
        </w:rPr>
        <w:t>非税收入：是指除税收以外，由各级政府、国家机关、事业单位、代行政府职能的社会团体及其他组织依法利用政府权力、政府信誉、国家资源、国有资产或提供特定公共服务、准公共服务取得的财政性资金，是政府财政收入的重要组成部分。</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仿宋"/>
          <w:color w:val="auto"/>
          <w:sz w:val="32"/>
          <w:szCs w:val="32"/>
          <w:highlight w:val="none"/>
        </w:rPr>
      </w:pPr>
      <w:r>
        <w:rPr>
          <w:rFonts w:hint="eastAsia" w:ascii="仿宋_GB2312" w:hAnsi="仿宋" w:eastAsia="仿宋_GB2312" w:cs="仿宋"/>
          <w:color w:val="auto"/>
          <w:sz w:val="32"/>
          <w:szCs w:val="32"/>
          <w:highlight w:val="none"/>
        </w:rPr>
        <w:t>④政府性基金预算：是指依照法律、行政法规的规定在一定期限内向特定对象征收、收取或者以其他方式筹集的资金，专项用于特定公共事业发展的收支预算。政府性基金预算应当根据基金项目收入情况和实际支出需要，按基金项目编制，做到以收定支。</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仿宋"/>
          <w:color w:val="auto"/>
          <w:sz w:val="32"/>
          <w:szCs w:val="32"/>
          <w:highlight w:val="none"/>
        </w:rPr>
      </w:pPr>
      <w:r>
        <w:rPr>
          <w:rFonts w:hint="eastAsia" w:ascii="仿宋_GB2312" w:hAnsi="仿宋" w:eastAsia="仿宋_GB2312" w:cs="仿宋"/>
          <w:color w:val="auto"/>
          <w:sz w:val="32"/>
          <w:szCs w:val="32"/>
          <w:highlight w:val="none"/>
        </w:rPr>
        <w:t>⑤国有资本经营预算：是指以国有资本收益作出支出安排的收支预算。国有资本经营预算应当按照收支平衡的原则编制，不列赤字，并安排资金调入一般公共预算。</w:t>
      </w:r>
    </w:p>
    <w:p>
      <w:pPr>
        <w:pStyle w:val="3"/>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仿宋"/>
          <w:color w:val="auto"/>
          <w:sz w:val="32"/>
          <w:szCs w:val="32"/>
          <w:highlight w:val="none"/>
        </w:rPr>
      </w:pPr>
      <w:r>
        <w:rPr>
          <w:rFonts w:hint="eastAsia" w:ascii="仿宋_GB2312" w:hAnsi="仿宋" w:eastAsia="仿宋_GB2312" w:cs="仿宋"/>
          <w:color w:val="auto"/>
          <w:sz w:val="32"/>
          <w:szCs w:val="32"/>
          <w:highlight w:val="none"/>
        </w:rPr>
        <w:t>⑥社会保险基金预算：是指社会保险缴款、一般公共预算安排和其他方式筹集的资金，专项用于社会保险的收支预算。社会保险基金预算应当按照统筹层次和社会保险项目分别编制，做到收支平衡。</w:t>
      </w:r>
    </w:p>
    <w:p>
      <w:pPr>
        <w:pStyle w:val="3"/>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仿宋"/>
          <w:color w:val="auto"/>
          <w:sz w:val="32"/>
          <w:szCs w:val="32"/>
          <w:highlight w:val="none"/>
        </w:rPr>
      </w:pPr>
      <w:r>
        <w:rPr>
          <w:rFonts w:hint="eastAsia" w:ascii="仿宋_GB2312" w:hAnsi="仿宋" w:eastAsia="仿宋_GB2312" w:cs="仿宋"/>
          <w:color w:val="auto"/>
          <w:kern w:val="0"/>
          <w:sz w:val="32"/>
          <w:szCs w:val="32"/>
          <w:highlight w:val="none"/>
        </w:rPr>
        <w:t>⑦</w:t>
      </w:r>
      <w:r>
        <w:rPr>
          <w:rFonts w:hint="eastAsia" w:ascii="仿宋_GB2312" w:hAnsi="仿宋" w:eastAsia="仿宋_GB2312" w:cs="仿宋"/>
          <w:color w:val="auto"/>
          <w:sz w:val="32"/>
          <w:szCs w:val="32"/>
          <w:highlight w:val="none"/>
        </w:rPr>
        <w:t>民生支出：是指各级财政部门用于建立覆盖城乡居民的社会保障体系，增加扩大就业、义务教育投入，提高城乡居民收入，建立基本医疗卫生制度等直接涉及群众利益方面的支出。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微软雅黑" w:eastAsia="仿宋_GB2312" w:cs="宋体"/>
          <w:color w:val="auto"/>
          <w:kern w:val="0"/>
          <w:sz w:val="32"/>
          <w:szCs w:val="32"/>
          <w:highlight w:val="yellow"/>
        </w:rPr>
      </w:pP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 w:eastAsia="仿宋_GB2312" w:cs="仿宋"/>
          <w:color w:val="auto"/>
          <w:kern w:val="2"/>
          <w:sz w:val="32"/>
          <w:szCs w:val="32"/>
          <w:lang w:val="en-US" w:eastAsia="zh-CN" w:bidi="ar-SA"/>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altName w:val="楷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keepNext w:val="0"/>
                  <w:keepLines w:val="0"/>
                  <w:pageBreakBefore w:val="0"/>
                  <w:widowControl w:val="0"/>
                  <w:kinsoku/>
                  <w:wordWrap/>
                  <w:overflowPunct/>
                  <w:topLinePunct w:val="0"/>
                  <w:autoSpaceDE/>
                  <w:autoSpaceDN/>
                  <w:bidi w:val="0"/>
                  <w:adjustRightInd/>
                  <w:snapToGrid w:val="0"/>
                  <w:ind w:left="210" w:leftChars="100" w:right="210" w:rightChars="100"/>
                  <w:textAlignment w:val="auto"/>
                  <w:rPr>
                    <w:rFonts w:hint="eastAsia" w:eastAsia="宋体"/>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00317A6"/>
    <w:rsid w:val="002B3166"/>
    <w:rsid w:val="00512D51"/>
    <w:rsid w:val="00CB1D64"/>
    <w:rsid w:val="00E83435"/>
    <w:rsid w:val="017D3B9E"/>
    <w:rsid w:val="01E42CA8"/>
    <w:rsid w:val="01FF0AF3"/>
    <w:rsid w:val="02341794"/>
    <w:rsid w:val="0255693D"/>
    <w:rsid w:val="02736CFC"/>
    <w:rsid w:val="02D42A18"/>
    <w:rsid w:val="035C6A70"/>
    <w:rsid w:val="03697803"/>
    <w:rsid w:val="036F5FDC"/>
    <w:rsid w:val="03945F08"/>
    <w:rsid w:val="03C17E64"/>
    <w:rsid w:val="03C81AEB"/>
    <w:rsid w:val="03D009A0"/>
    <w:rsid w:val="03FC62CA"/>
    <w:rsid w:val="049E5E85"/>
    <w:rsid w:val="04BA2884"/>
    <w:rsid w:val="05687D9A"/>
    <w:rsid w:val="05B742B5"/>
    <w:rsid w:val="063418D3"/>
    <w:rsid w:val="08606619"/>
    <w:rsid w:val="09333173"/>
    <w:rsid w:val="09CC119B"/>
    <w:rsid w:val="0AAA3CF1"/>
    <w:rsid w:val="0BC33C40"/>
    <w:rsid w:val="0BDE28AD"/>
    <w:rsid w:val="0C3D2B29"/>
    <w:rsid w:val="0C70539F"/>
    <w:rsid w:val="0CBB786E"/>
    <w:rsid w:val="0D181E07"/>
    <w:rsid w:val="0D2B0A07"/>
    <w:rsid w:val="0DCB423E"/>
    <w:rsid w:val="0EBA6AC7"/>
    <w:rsid w:val="0F65565A"/>
    <w:rsid w:val="0F7865E3"/>
    <w:rsid w:val="0F851514"/>
    <w:rsid w:val="11EE4FA1"/>
    <w:rsid w:val="131B3EB3"/>
    <w:rsid w:val="13E35E56"/>
    <w:rsid w:val="13ED39D7"/>
    <w:rsid w:val="14764F7B"/>
    <w:rsid w:val="147E141E"/>
    <w:rsid w:val="15512E8C"/>
    <w:rsid w:val="15572866"/>
    <w:rsid w:val="162B3231"/>
    <w:rsid w:val="16F83305"/>
    <w:rsid w:val="17485F58"/>
    <w:rsid w:val="178C570F"/>
    <w:rsid w:val="179C2CA4"/>
    <w:rsid w:val="17E26ABF"/>
    <w:rsid w:val="189E4267"/>
    <w:rsid w:val="192A1D13"/>
    <w:rsid w:val="19BF65B5"/>
    <w:rsid w:val="1B701819"/>
    <w:rsid w:val="1C1733B6"/>
    <w:rsid w:val="1D4202BB"/>
    <w:rsid w:val="1E6C690F"/>
    <w:rsid w:val="1F4D5DF6"/>
    <w:rsid w:val="1F7C0BF6"/>
    <w:rsid w:val="1FE22DA1"/>
    <w:rsid w:val="20992C2D"/>
    <w:rsid w:val="215750E9"/>
    <w:rsid w:val="21927F9B"/>
    <w:rsid w:val="21AB3417"/>
    <w:rsid w:val="22233DE1"/>
    <w:rsid w:val="23CE11D2"/>
    <w:rsid w:val="23D64459"/>
    <w:rsid w:val="23E049F9"/>
    <w:rsid w:val="23FB4E94"/>
    <w:rsid w:val="248C7B65"/>
    <w:rsid w:val="25272A5F"/>
    <w:rsid w:val="25A870DC"/>
    <w:rsid w:val="263D2155"/>
    <w:rsid w:val="264231CC"/>
    <w:rsid w:val="266378CF"/>
    <w:rsid w:val="278C5486"/>
    <w:rsid w:val="27BD6651"/>
    <w:rsid w:val="281902D8"/>
    <w:rsid w:val="28840EDF"/>
    <w:rsid w:val="28DB7518"/>
    <w:rsid w:val="28E61C16"/>
    <w:rsid w:val="28F15835"/>
    <w:rsid w:val="298F3411"/>
    <w:rsid w:val="2A1055B0"/>
    <w:rsid w:val="2AAD1E0E"/>
    <w:rsid w:val="2AC43EFF"/>
    <w:rsid w:val="2ACF1CAF"/>
    <w:rsid w:val="2ADE541E"/>
    <w:rsid w:val="2B2B3705"/>
    <w:rsid w:val="2B304A01"/>
    <w:rsid w:val="2B333558"/>
    <w:rsid w:val="2B8405BD"/>
    <w:rsid w:val="2CB7391B"/>
    <w:rsid w:val="2D054B1A"/>
    <w:rsid w:val="2D173034"/>
    <w:rsid w:val="2D926201"/>
    <w:rsid w:val="2FCD416D"/>
    <w:rsid w:val="300D6148"/>
    <w:rsid w:val="31102689"/>
    <w:rsid w:val="316724EF"/>
    <w:rsid w:val="318D43DD"/>
    <w:rsid w:val="31B0538F"/>
    <w:rsid w:val="31C55FF1"/>
    <w:rsid w:val="330403DD"/>
    <w:rsid w:val="330A54BF"/>
    <w:rsid w:val="332773D0"/>
    <w:rsid w:val="33407B81"/>
    <w:rsid w:val="334529EB"/>
    <w:rsid w:val="34F57937"/>
    <w:rsid w:val="35ED531D"/>
    <w:rsid w:val="361E1A9B"/>
    <w:rsid w:val="36983346"/>
    <w:rsid w:val="36F57023"/>
    <w:rsid w:val="37D374C0"/>
    <w:rsid w:val="37F24DD0"/>
    <w:rsid w:val="381B6902"/>
    <w:rsid w:val="38433229"/>
    <w:rsid w:val="38B737FA"/>
    <w:rsid w:val="391A2409"/>
    <w:rsid w:val="3B330CC8"/>
    <w:rsid w:val="3BB23828"/>
    <w:rsid w:val="3BF07336"/>
    <w:rsid w:val="3C5051F8"/>
    <w:rsid w:val="3EFC6AB2"/>
    <w:rsid w:val="3F043DFE"/>
    <w:rsid w:val="3F2225CA"/>
    <w:rsid w:val="3F911F8E"/>
    <w:rsid w:val="3FB61AD7"/>
    <w:rsid w:val="40A75A33"/>
    <w:rsid w:val="42645CEB"/>
    <w:rsid w:val="42B575A0"/>
    <w:rsid w:val="42BF4B02"/>
    <w:rsid w:val="42DF197B"/>
    <w:rsid w:val="43510CAC"/>
    <w:rsid w:val="440C2A33"/>
    <w:rsid w:val="44560774"/>
    <w:rsid w:val="445F39BF"/>
    <w:rsid w:val="44621B53"/>
    <w:rsid w:val="446B2C29"/>
    <w:rsid w:val="455B3CB3"/>
    <w:rsid w:val="45A73098"/>
    <w:rsid w:val="460F026F"/>
    <w:rsid w:val="46BE00D7"/>
    <w:rsid w:val="46E57892"/>
    <w:rsid w:val="475401AB"/>
    <w:rsid w:val="48357796"/>
    <w:rsid w:val="484B274E"/>
    <w:rsid w:val="493A110E"/>
    <w:rsid w:val="49467677"/>
    <w:rsid w:val="49473F64"/>
    <w:rsid w:val="49D573E0"/>
    <w:rsid w:val="4A2D0D12"/>
    <w:rsid w:val="4A3E7F4E"/>
    <w:rsid w:val="4A531CF2"/>
    <w:rsid w:val="4A6A4794"/>
    <w:rsid w:val="4A844082"/>
    <w:rsid w:val="4BC275B5"/>
    <w:rsid w:val="4C662C9A"/>
    <w:rsid w:val="4CC545FC"/>
    <w:rsid w:val="4CFB0BF9"/>
    <w:rsid w:val="4D671B3B"/>
    <w:rsid w:val="4D963D1B"/>
    <w:rsid w:val="4DB207BB"/>
    <w:rsid w:val="4EA42E11"/>
    <w:rsid w:val="4F5924BD"/>
    <w:rsid w:val="4F8F4B4C"/>
    <w:rsid w:val="4FC846AD"/>
    <w:rsid w:val="53854EC7"/>
    <w:rsid w:val="53AD547A"/>
    <w:rsid w:val="540C306F"/>
    <w:rsid w:val="544576C6"/>
    <w:rsid w:val="551F30F6"/>
    <w:rsid w:val="553516DE"/>
    <w:rsid w:val="56151D60"/>
    <w:rsid w:val="56366870"/>
    <w:rsid w:val="571C5A9F"/>
    <w:rsid w:val="586A0321"/>
    <w:rsid w:val="596C6E05"/>
    <w:rsid w:val="59BD799D"/>
    <w:rsid w:val="59C57431"/>
    <w:rsid w:val="5A03362D"/>
    <w:rsid w:val="5A7F2E94"/>
    <w:rsid w:val="5A840EAD"/>
    <w:rsid w:val="5AE76F56"/>
    <w:rsid w:val="5B604A57"/>
    <w:rsid w:val="5C0106AD"/>
    <w:rsid w:val="5D550837"/>
    <w:rsid w:val="5D6B5003"/>
    <w:rsid w:val="5E06542B"/>
    <w:rsid w:val="5E564486"/>
    <w:rsid w:val="5F1B367A"/>
    <w:rsid w:val="5F2A012F"/>
    <w:rsid w:val="5F593A8F"/>
    <w:rsid w:val="60B31825"/>
    <w:rsid w:val="60BD7CC5"/>
    <w:rsid w:val="62836D54"/>
    <w:rsid w:val="633A51A5"/>
    <w:rsid w:val="635F09D1"/>
    <w:rsid w:val="63EF74AC"/>
    <w:rsid w:val="64027359"/>
    <w:rsid w:val="6470584A"/>
    <w:rsid w:val="64F80FAE"/>
    <w:rsid w:val="656565FD"/>
    <w:rsid w:val="66A32946"/>
    <w:rsid w:val="67F964F8"/>
    <w:rsid w:val="68341FF1"/>
    <w:rsid w:val="68D44922"/>
    <w:rsid w:val="69053984"/>
    <w:rsid w:val="69FA24A1"/>
    <w:rsid w:val="6A4B7B97"/>
    <w:rsid w:val="6B7E2985"/>
    <w:rsid w:val="6C1259C2"/>
    <w:rsid w:val="6CC62C58"/>
    <w:rsid w:val="6E58622F"/>
    <w:rsid w:val="70747AD4"/>
    <w:rsid w:val="71167184"/>
    <w:rsid w:val="71713B9E"/>
    <w:rsid w:val="731859BC"/>
    <w:rsid w:val="733C4CB7"/>
    <w:rsid w:val="7395419F"/>
    <w:rsid w:val="74B04C21"/>
    <w:rsid w:val="75883955"/>
    <w:rsid w:val="7591071B"/>
    <w:rsid w:val="76B15736"/>
    <w:rsid w:val="76E0041F"/>
    <w:rsid w:val="772C7705"/>
    <w:rsid w:val="780169C5"/>
    <w:rsid w:val="78950DC2"/>
    <w:rsid w:val="79327BCF"/>
    <w:rsid w:val="79627299"/>
    <w:rsid w:val="79FF343E"/>
    <w:rsid w:val="7B62386D"/>
    <w:rsid w:val="7B86692B"/>
    <w:rsid w:val="7BF77811"/>
    <w:rsid w:val="7D83044F"/>
    <w:rsid w:val="7D875AFE"/>
    <w:rsid w:val="7FD403A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next w:val="1"/>
    <w:qFormat/>
    <w:uiPriority w:val="0"/>
    <w:pPr>
      <w:keepNext/>
      <w:keepLines/>
      <w:widowControl w:val="0"/>
      <w:spacing w:before="200" w:after="0"/>
      <w:jc w:val="both"/>
      <w:outlineLvl w:val="1"/>
    </w:pPr>
    <w:rPr>
      <w:rFonts w:ascii="Cambria" w:hAnsi="Cambria" w:eastAsia="宋体" w:cs="Times New Roman"/>
      <w:b/>
      <w:bCs/>
      <w:color w:val="4F81BD"/>
      <w:kern w:val="0"/>
      <w:sz w:val="26"/>
      <w:szCs w:val="26"/>
      <w:lang w:val="en-US" w:eastAsia="zh-CN" w:bidi="ar-SA"/>
    </w:rPr>
  </w:style>
  <w:style w:type="character" w:default="1" w:styleId="8">
    <w:name w:val="Default Paragraph Font"/>
    <w:semiHidden/>
    <w:qFormat/>
    <w:uiPriority w:val="0"/>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宋体" w:hAnsi="宋体"/>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9">
    <w:name w:val="Strong"/>
    <w:basedOn w:val="8"/>
    <w:qFormat/>
    <w:uiPriority w:val="0"/>
    <w:rPr>
      <w:b/>
    </w:rPr>
  </w:style>
  <w:style w:type="paragraph" w:customStyle="1" w:styleId="10">
    <w:name w:val="正文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w:qFormat/>
    <w:uiPriority w:val="0"/>
    <w:pPr>
      <w:widowControl w:val="0"/>
      <w:jc w:val="both"/>
    </w:pPr>
    <w:rPr>
      <w:rFonts w:hint="eastAsia" w:ascii="Times New Roman" w:hAnsi="Times New Roman" w:eastAsia="仿宋_GB2312" w:cs="Times New Roman"/>
      <w:kern w:val="2"/>
      <w:sz w:val="32"/>
      <w:lang w:val="en-US" w:eastAsia="zh-CN" w:bidi="ar-SA"/>
    </w:rPr>
  </w:style>
  <w:style w:type="character" w:customStyle="1" w:styleId="12">
    <w:name w:val="Strong"/>
    <w:basedOn w:val="13"/>
    <w:qFormat/>
    <w:uiPriority w:val="0"/>
    <w:rPr>
      <w:rFonts w:hint="default" w:ascii="Times New Roman"/>
      <w:b/>
    </w:rPr>
  </w:style>
  <w:style w:type="character" w:customStyle="1" w:styleId="13">
    <w:name w:val="Default Paragraph Font"/>
    <w:qFormat/>
    <w:uiPriority w:val="0"/>
    <w:rPr>
      <w:rFonts w:hint="default"/>
    </w:rPr>
  </w:style>
  <w:style w:type="paragraph" w:customStyle="1" w:styleId="14">
    <w:name w:val="p0"/>
    <w:qFormat/>
    <w:uiPriority w:val="0"/>
    <w:pPr>
      <w:widowControl/>
      <w:jc w:val="both"/>
    </w:pPr>
    <w:rPr>
      <w:rFonts w:ascii="Calibri" w:hAnsi="Calibri" w:eastAsia="宋体" w:cs="宋体"/>
      <w:kern w:val="0"/>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292</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2019-12-21T08:06:00Z</dcterms:created>
  <dc:creator>Administrator</dc:creator>
  <cp:lastModifiedBy>Administrator</cp:lastModifiedBy>
  <cp:lastPrinted>2022-02-15T02:24:00Z</cp:lastPrinted>
  <dcterms:modified xsi:type="dcterms:W3CDTF">2022-02-18T08:20:19Z</dcterms:modified>
  <dc:title>翁源县2019年预算执行情况和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