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翁源县整县推进屋顶分布式光伏发电项目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开发主体报名表</w:t>
      </w:r>
    </w:p>
    <w:p>
      <w:pPr>
        <w:pStyle w:val="2"/>
        <w:rPr>
          <w:rFonts w:hint="eastAsia"/>
          <w:sz w:val="44"/>
          <w:szCs w:val="44"/>
        </w:rPr>
      </w:pPr>
    </w:p>
    <w:tbl>
      <w:tblPr>
        <w:tblStyle w:val="7"/>
        <w:tblW w:w="8353" w:type="dxa"/>
        <w:tblInd w:w="-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747"/>
        <w:gridCol w:w="1903"/>
        <w:gridCol w:w="276"/>
        <w:gridCol w:w="1228"/>
        <w:gridCol w:w="913"/>
        <w:gridCol w:w="22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95" w:hRule="atLeast"/>
        </w:trPr>
        <w:tc>
          <w:tcPr>
            <w:tcW w:w="8353"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left"/>
              <w:rPr>
                <w:rFonts w:ascii="宋体" w:hAnsi="宋体" w:cs="宋体"/>
                <w:color w:val="000000"/>
                <w:kern w:val="0"/>
                <w:sz w:val="32"/>
                <w:szCs w:val="32"/>
              </w:rPr>
            </w:pPr>
            <w:r>
              <w:rPr>
                <w:rFonts w:ascii="宋体" w:hAnsi="宋体" w:cs="宋体"/>
                <w:color w:val="000000"/>
                <w:kern w:val="0"/>
                <w:sz w:val="32"/>
                <w:szCs w:val="32"/>
              </w:rPr>
              <w:t>申请</w:t>
            </w:r>
            <w:r>
              <w:rPr>
                <w:rFonts w:hint="eastAsia" w:ascii="宋体" w:hAnsi="宋体" w:cs="宋体"/>
                <w:color w:val="000000"/>
                <w:kern w:val="0"/>
                <w:sz w:val="32"/>
                <w:szCs w:val="32"/>
              </w:rPr>
              <w:t>企业</w:t>
            </w:r>
            <w:r>
              <w:rPr>
                <w:rFonts w:ascii="宋体" w:hAnsi="宋体" w:cs="宋体"/>
                <w:color w:val="000000"/>
                <w:kern w:val="0"/>
                <w:sz w:val="32"/>
                <w:szCs w:val="32"/>
              </w:rPr>
              <w:t>（盖章）：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925" w:hRule="atLeast"/>
        </w:trPr>
        <w:tc>
          <w:tcPr>
            <w:tcW w:w="174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center"/>
              <w:rPr>
                <w:rFonts w:ascii="宋体" w:hAnsi="宋体" w:eastAsia="宋体" w:cs="宋体"/>
                <w:color w:val="000000"/>
                <w:kern w:val="0"/>
                <w:sz w:val="32"/>
                <w:szCs w:val="32"/>
              </w:rPr>
            </w:pPr>
            <w:r>
              <w:rPr>
                <w:rFonts w:hint="eastAsia" w:ascii="宋体" w:hAnsi="宋体" w:cs="宋体"/>
                <w:color w:val="000000"/>
                <w:kern w:val="0"/>
                <w:sz w:val="32"/>
                <w:szCs w:val="32"/>
              </w:rPr>
              <w:t>法定代表人</w:t>
            </w:r>
          </w:p>
        </w:tc>
        <w:tc>
          <w:tcPr>
            <w:tcW w:w="2179"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left"/>
              <w:rPr>
                <w:rFonts w:ascii="宋体" w:hAnsi="宋体" w:cs="宋体"/>
                <w:color w:val="000000"/>
                <w:kern w:val="0"/>
                <w:sz w:val="32"/>
                <w:szCs w:val="32"/>
              </w:rPr>
            </w:pPr>
          </w:p>
        </w:tc>
        <w:tc>
          <w:tcPr>
            <w:tcW w:w="214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center"/>
              <w:rPr>
                <w:rFonts w:ascii="宋体" w:hAnsi="宋体" w:eastAsia="宋体" w:cs="宋体"/>
                <w:color w:val="000000"/>
                <w:kern w:val="0"/>
                <w:sz w:val="32"/>
                <w:szCs w:val="32"/>
              </w:rPr>
            </w:pPr>
            <w:r>
              <w:rPr>
                <w:rFonts w:hint="eastAsia" w:ascii="宋体" w:hAnsi="宋体" w:cs="宋体"/>
                <w:color w:val="000000"/>
                <w:kern w:val="0"/>
                <w:sz w:val="32"/>
                <w:szCs w:val="32"/>
              </w:rPr>
              <w:t>登记注册时间</w:t>
            </w:r>
          </w:p>
        </w:tc>
        <w:tc>
          <w:tcPr>
            <w:tcW w:w="228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left"/>
              <w:rPr>
                <w:rFonts w:ascii="宋体" w:hAnsi="宋体"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24" w:hRule="atLeast"/>
        </w:trPr>
        <w:tc>
          <w:tcPr>
            <w:tcW w:w="174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center"/>
              <w:rPr>
                <w:rFonts w:ascii="宋体" w:hAnsi="宋体" w:cs="宋体"/>
                <w:color w:val="000000"/>
                <w:kern w:val="0"/>
                <w:sz w:val="32"/>
                <w:szCs w:val="32"/>
              </w:rPr>
            </w:pPr>
            <w:r>
              <w:rPr>
                <w:rFonts w:ascii="宋体" w:hAnsi="宋体" w:cs="宋体"/>
                <w:color w:val="000000"/>
                <w:kern w:val="0"/>
                <w:sz w:val="32"/>
                <w:szCs w:val="32"/>
              </w:rPr>
              <w:t>报名日期</w:t>
            </w:r>
          </w:p>
        </w:tc>
        <w:tc>
          <w:tcPr>
            <w:tcW w:w="6606"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center"/>
              <w:rPr>
                <w:rFonts w:ascii="宋体" w:hAnsi="宋体" w:cs="宋体"/>
                <w:color w:val="000000"/>
                <w:kern w:val="0"/>
                <w:sz w:val="32"/>
                <w:szCs w:val="32"/>
              </w:rPr>
            </w:pPr>
            <w:r>
              <w:rPr>
                <w:rFonts w:ascii="宋体" w:hAnsi="宋体" w:cs="宋体"/>
                <w:color w:val="000000"/>
                <w:kern w:val="0"/>
                <w:sz w:val="32"/>
                <w:szCs w:val="32"/>
              </w:rPr>
              <w:t>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73" w:hRule="atLeast"/>
        </w:trPr>
        <w:tc>
          <w:tcPr>
            <w:tcW w:w="174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center"/>
              <w:rPr>
                <w:rFonts w:ascii="宋体" w:hAnsi="宋体" w:cs="宋体"/>
                <w:color w:val="000000"/>
                <w:kern w:val="0"/>
                <w:sz w:val="32"/>
                <w:szCs w:val="32"/>
              </w:rPr>
            </w:pPr>
            <w:r>
              <w:rPr>
                <w:rFonts w:ascii="宋体" w:hAnsi="宋体" w:cs="宋体"/>
                <w:color w:val="000000"/>
                <w:kern w:val="0"/>
                <w:sz w:val="32"/>
                <w:szCs w:val="32"/>
              </w:rPr>
              <w:t>联系人</w:t>
            </w:r>
          </w:p>
        </w:tc>
        <w:tc>
          <w:tcPr>
            <w:tcW w:w="190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left"/>
              <w:rPr>
                <w:rFonts w:ascii="宋体" w:hAnsi="宋体" w:cs="宋体"/>
                <w:color w:val="000000"/>
                <w:kern w:val="0"/>
                <w:sz w:val="32"/>
                <w:szCs w:val="32"/>
              </w:rPr>
            </w:pPr>
          </w:p>
        </w:tc>
        <w:tc>
          <w:tcPr>
            <w:tcW w:w="150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center"/>
              <w:rPr>
                <w:rFonts w:ascii="宋体" w:hAnsi="宋体" w:cs="宋体"/>
                <w:color w:val="000000"/>
                <w:kern w:val="0"/>
                <w:sz w:val="32"/>
                <w:szCs w:val="32"/>
              </w:rPr>
            </w:pPr>
            <w:r>
              <w:rPr>
                <w:rFonts w:ascii="宋体" w:hAnsi="宋体" w:cs="宋体"/>
                <w:color w:val="000000"/>
                <w:kern w:val="0"/>
                <w:sz w:val="32"/>
                <w:szCs w:val="32"/>
              </w:rPr>
              <w:t>联系电话</w:t>
            </w:r>
          </w:p>
        </w:tc>
        <w:tc>
          <w:tcPr>
            <w:tcW w:w="3199"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left"/>
              <w:rPr>
                <w:rFonts w:ascii="宋体" w:hAnsi="宋体"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961" w:hRule="atLeast"/>
        </w:trPr>
        <w:tc>
          <w:tcPr>
            <w:tcW w:w="174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center"/>
              <w:rPr>
                <w:rFonts w:ascii="宋体" w:hAnsi="宋体" w:cs="宋体"/>
                <w:color w:val="000000"/>
                <w:kern w:val="0"/>
                <w:sz w:val="32"/>
                <w:szCs w:val="32"/>
              </w:rPr>
            </w:pPr>
            <w:r>
              <w:rPr>
                <w:rFonts w:ascii="宋体" w:hAnsi="宋体" w:cs="宋体"/>
                <w:color w:val="000000"/>
                <w:kern w:val="0"/>
                <w:sz w:val="32"/>
                <w:szCs w:val="32"/>
              </w:rPr>
              <w:t>电子邮箱</w:t>
            </w:r>
          </w:p>
        </w:tc>
        <w:tc>
          <w:tcPr>
            <w:tcW w:w="6606"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560" w:lineRule="exact"/>
              <w:jc w:val="left"/>
              <w:rPr>
                <w:rFonts w:ascii="宋体" w:hAnsi="宋体" w:cs="宋体"/>
                <w:color w:val="000000"/>
                <w:kern w:val="0"/>
                <w:sz w:val="32"/>
                <w:szCs w:val="32"/>
              </w:rPr>
            </w:pPr>
          </w:p>
        </w:tc>
      </w:tr>
    </w:tbl>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b w:val="0"/>
          <w:bCs w:val="0"/>
          <w:color w:val="000000"/>
          <w:lang w:val="en-US" w:eastAsia="zh-CN"/>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b w:val="0"/>
          <w:bCs w:val="0"/>
          <w:color w:val="000000"/>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pStyle w:val="11"/>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申请文件及相关要求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一、基本情况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翁源县计划于“十四五”期间完成整县推进屋顶分布式光伏项目开发建设，采取分阶段、分批次方式推进。全县党政机关等公共建筑</w:t>
      </w:r>
      <w:r>
        <w:rPr>
          <w:rFonts w:hint="eastAsia" w:hAnsi="仿宋_GB2312" w:cs="仿宋_GB2312"/>
          <w:color w:val="000000"/>
          <w:lang w:val="en-US" w:eastAsia="zh-CN"/>
        </w:rPr>
        <w:t>、工业园区厂房、农村民房屋顶面积</w:t>
      </w:r>
      <w:r>
        <w:rPr>
          <w:rFonts w:hint="eastAsia" w:ascii="仿宋_GB2312" w:hAnsi="仿宋_GB2312" w:eastAsia="仿宋_GB2312" w:cs="仿宋_GB2312"/>
          <w:color w:val="000000"/>
          <w:lang w:val="en-US" w:eastAsia="zh-CN"/>
        </w:rPr>
        <w:t>预计可开发容量共222MW</w:t>
      </w:r>
      <w:r>
        <w:rPr>
          <w:rFonts w:hint="eastAsia" w:hAnsi="仿宋_GB2312" w:cs="仿宋_GB2312"/>
          <w:color w:val="000000"/>
          <w:lang w:val="en-US" w:eastAsia="zh-CN"/>
        </w:rPr>
        <w:t>。</w:t>
      </w:r>
      <w:r>
        <w:rPr>
          <w:rFonts w:hint="eastAsia" w:ascii="仿宋_GB2312" w:hAnsi="仿宋_GB2312" w:eastAsia="仿宋_GB2312" w:cs="仿宋_GB2312"/>
          <w:color w:val="000000"/>
          <w:lang w:val="en-US" w:eastAsia="zh-CN"/>
        </w:rPr>
        <w:t>党政机关建筑屋顶总面积安装光伏发电比例不低于50%；学校、医院、村委会等公共建筑屋顶总面积安装光伏发电比例不低于40%；工商业厂房屋顶总面积安装光伏发电比例不低于30%；农村居民屋顶总面积安装光伏发电比例不低于20%。到2025年底全面完成总规划面积的投资建设。根据《关于做好屋顶分布式光伏开发有关工作的通知》（韶发改电力〔2021〕21号）等文件要求，我县拟采用“开发主体+县属国有企业+省、市属国有企业”的三方合作开发模式，共同组建项目平台公司，负责开展屋顶分布式光伏项目的开发、建设与运营。</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二、报送材料内容</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1.开发方案（文件完整，思路清晰，版面整洁，资料齐全；开发期限2022年-2025年，开发总额达到5亿元以上）。</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2.支持我县碳中和产业基金（每发一度电能支付县碳中和产业基金x元）。</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3.开发模式（同意三方合作，</w:t>
      </w:r>
      <w:r>
        <w:rPr>
          <w:rFonts w:hint="eastAsia" w:hAnsi="仿宋_GB2312" w:cs="仿宋_GB2312"/>
          <w:color w:val="000000"/>
          <w:lang w:val="en-US" w:eastAsia="zh-CN"/>
        </w:rPr>
        <w:t>在我县</w:t>
      </w:r>
      <w:r>
        <w:rPr>
          <w:rFonts w:hint="eastAsia" w:ascii="仿宋_GB2312" w:hAnsi="仿宋_GB2312" w:eastAsia="仿宋_GB2312" w:cs="仿宋_GB2312"/>
          <w:color w:val="000000"/>
          <w:lang w:val="en-US" w:eastAsia="zh-CN"/>
        </w:rPr>
        <w:t>成立</w:t>
      </w:r>
      <w:r>
        <w:rPr>
          <w:rFonts w:hint="eastAsia" w:hAnsi="仿宋_GB2312" w:cs="仿宋_GB2312"/>
          <w:color w:val="000000"/>
          <w:lang w:val="en-US" w:eastAsia="zh-CN"/>
        </w:rPr>
        <w:t>项目</w:t>
      </w:r>
      <w:r>
        <w:rPr>
          <w:rFonts w:hint="eastAsia" w:ascii="仿宋_GB2312" w:hAnsi="仿宋_GB2312" w:eastAsia="仿宋_GB2312" w:cs="仿宋_GB2312"/>
          <w:color w:val="000000"/>
          <w:lang w:val="en-US" w:eastAsia="zh-CN"/>
        </w:rPr>
        <w:t>平台公司，公司成立一星期内项目总投资60%以上资本金到位）。</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4.租金（屋顶光伏每平方米板面能给屋顶产权所有权人</w:t>
      </w:r>
      <w:r>
        <w:rPr>
          <w:rFonts w:hint="eastAsia" w:hAnsi="仿宋_GB2312" w:cs="仿宋_GB2312"/>
          <w:color w:val="000000"/>
          <w:lang w:val="en-US" w:eastAsia="zh-CN"/>
        </w:rPr>
        <w:t>租金</w:t>
      </w:r>
      <w:r>
        <w:rPr>
          <w:rFonts w:hint="eastAsia" w:ascii="仿宋_GB2312" w:hAnsi="仿宋_GB2312" w:eastAsia="仿宋_GB2312" w:cs="仿宋_GB2312"/>
          <w:color w:val="000000"/>
          <w:lang w:val="en-US" w:eastAsia="zh-CN"/>
        </w:rPr>
        <w:t>x元/年）。</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5.企业实力（资产、资金实力雄厚，分布式光伏项目整体开发成功案例</w:t>
      </w:r>
      <w:r>
        <w:rPr>
          <w:rFonts w:hint="eastAsia" w:hAnsi="仿宋_GB2312" w:cs="仿宋_GB2312"/>
          <w:color w:val="000000"/>
          <w:lang w:val="en-US" w:eastAsia="zh-CN"/>
        </w:rPr>
        <w:t>（包括但不限于合同、竣工验收报告）等）。</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说明：从企业开发方案（20分）、支持我县碳中和产业基金（</w:t>
      </w:r>
      <w:r>
        <w:rPr>
          <w:rFonts w:hint="eastAsia" w:hAnsi="仿宋_GB2312" w:cs="仿宋_GB2312"/>
          <w:color w:val="000000"/>
          <w:lang w:val="en-US" w:eastAsia="zh-CN"/>
        </w:rPr>
        <w:t>30</w:t>
      </w:r>
      <w:r>
        <w:rPr>
          <w:rFonts w:hint="eastAsia" w:ascii="仿宋_GB2312" w:hAnsi="仿宋_GB2312" w:eastAsia="仿宋_GB2312" w:cs="仿宋_GB2312"/>
          <w:color w:val="000000"/>
          <w:lang w:val="en-US" w:eastAsia="zh-CN"/>
        </w:rPr>
        <w:t>分）、开发模式（10分）、租金（</w:t>
      </w:r>
      <w:r>
        <w:rPr>
          <w:rFonts w:hint="eastAsia" w:hAnsi="仿宋_GB2312" w:cs="仿宋_GB2312"/>
          <w:color w:val="000000"/>
          <w:lang w:val="en-US" w:eastAsia="zh-CN"/>
        </w:rPr>
        <w:t>30</w:t>
      </w:r>
      <w:r>
        <w:rPr>
          <w:rFonts w:hint="eastAsia" w:ascii="仿宋_GB2312" w:hAnsi="仿宋_GB2312" w:eastAsia="仿宋_GB2312" w:cs="仿宋_GB2312"/>
          <w:color w:val="000000"/>
          <w:lang w:val="en-US" w:eastAsia="zh-CN"/>
        </w:rPr>
        <w:t>分）、企业实力（</w:t>
      </w:r>
      <w:r>
        <w:rPr>
          <w:rFonts w:hint="eastAsia" w:hAnsi="仿宋_GB2312" w:cs="仿宋_GB2312"/>
          <w:color w:val="000000"/>
          <w:lang w:val="en-US" w:eastAsia="zh-CN"/>
        </w:rPr>
        <w:t>10</w:t>
      </w:r>
      <w:r>
        <w:rPr>
          <w:rFonts w:hint="eastAsia" w:ascii="仿宋_GB2312" w:hAnsi="仿宋_GB2312" w:eastAsia="仿宋_GB2312" w:cs="仿宋_GB2312"/>
          <w:color w:val="000000"/>
          <w:lang w:val="en-US" w:eastAsia="zh-CN"/>
        </w:rPr>
        <w:t>分）等方面统筹进行综合评分。</w:t>
      </w:r>
      <w:r>
        <w:rPr>
          <w:rFonts w:hint="eastAsia" w:hAnsi="仿宋_GB2312" w:cs="仿宋_GB2312"/>
          <w:b/>
          <w:bCs/>
          <w:color w:val="000000"/>
          <w:lang w:val="en-US" w:eastAsia="zh-CN"/>
        </w:rPr>
        <w:t>2、3、4、5项需全部融入到开发方案中，若该项未提供则不得分；需提供2020年、2021年财务报表，若未提供视为资格审查不合格。</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黑体" w:hAnsi="黑体" w:eastAsia="黑体" w:cs="黑体"/>
          <w:color w:val="000000"/>
          <w:lang w:val="en-US" w:eastAsia="zh-CN"/>
        </w:rPr>
        <w:t>三、禁止条款</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不得存在下列情形之一：</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1.不具有独立法人资格的附属机构（单位）；</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2.企业组成的联合体参与遴选；</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3.被责令停产停业、暂扣或者吊销许可证、暂扣或者吊销执照；</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4.进入清算程序，或被宣告破产，或其他丧失履约能力的情形；</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5.在最近三年内发生重大工程质量或安全问题（以相关行业主管部门的行政处罚决定或司法机关出具的有关法律文书为准）；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6</w:t>
      </w:r>
      <w:r>
        <w:rPr>
          <w:rFonts w:hint="eastAsia" w:hAnsi="仿宋_GB2312" w:cs="仿宋_GB2312"/>
          <w:color w:val="000000"/>
          <w:lang w:val="en-US" w:eastAsia="zh-CN"/>
        </w:rPr>
        <w:t>.</w:t>
      </w:r>
      <w:r>
        <w:rPr>
          <w:rFonts w:hint="eastAsia" w:ascii="仿宋_GB2312" w:hAnsi="仿宋_GB2312" w:eastAsia="仿宋_GB2312" w:cs="仿宋_GB2312"/>
          <w:color w:val="000000"/>
          <w:lang w:val="en-US" w:eastAsia="zh-CN"/>
        </w:rPr>
        <w:t>被“信用中国”</w:t>
      </w:r>
      <w:r>
        <w:rPr>
          <w:rFonts w:hint="eastAsia" w:hAnsi="仿宋_GB2312" w:cs="仿宋_GB2312"/>
          <w:color w:val="000000"/>
          <w:lang w:val="en-US" w:eastAsia="zh-CN"/>
        </w:rPr>
        <w:t>网站</w:t>
      </w:r>
      <w:r>
        <w:rPr>
          <w:rFonts w:hint="eastAsia" w:ascii="仿宋_GB2312" w:hAnsi="仿宋_GB2312" w:eastAsia="仿宋_GB2312" w:cs="仿宋_GB2312"/>
          <w:color w:val="000000"/>
          <w:lang w:val="en-US" w:eastAsia="zh-CN"/>
        </w:rPr>
        <w:t>发布的《法人和其他组织信用信息》列为失信惩戒对象的；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7.被省、市、县有关部门列入黑名单、提醒注意或涉嫌存在其他不法行为的。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sectPr>
          <w:pgSz w:w="11906" w:h="16838"/>
          <w:pgMar w:top="1440" w:right="1800" w:bottom="1440" w:left="1800" w:header="851" w:footer="992" w:gutter="0"/>
          <w:pgNumType w:fmt="numberInDash"/>
          <w:cols w:space="720" w:num="1"/>
          <w:docGrid w:type="lines" w:linePitch="312" w:charSpace="0"/>
        </w:sectPr>
      </w:pPr>
    </w:p>
    <w:p>
      <w:pPr>
        <w:pStyle w:val="11"/>
        <w:spacing w:line="70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ascii="方正小标宋简体" w:hAnsi="方正小标宋简体" w:eastAsia="方正小标宋简体" w:cs="方正小标宋简体"/>
          <w:color w:val="000000"/>
          <w:sz w:val="44"/>
          <w:szCs w:val="44"/>
          <w:lang w:val="en-US" w:eastAsia="zh-CN"/>
        </w:rPr>
        <w:t>翁源县整县推进屋顶分布式光伏发电项目评分表</w:t>
      </w:r>
    </w:p>
    <w:tbl>
      <w:tblPr>
        <w:tblStyle w:val="8"/>
        <w:tblW w:w="15917" w:type="dxa"/>
        <w:tblInd w:w="-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569"/>
        <w:gridCol w:w="1103"/>
        <w:gridCol w:w="1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50" w:type="dxa"/>
            <w:noWrap w:val="0"/>
            <w:vAlign w:val="top"/>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序号</w:t>
            </w:r>
          </w:p>
        </w:tc>
        <w:tc>
          <w:tcPr>
            <w:tcW w:w="1569" w:type="dxa"/>
            <w:noWrap w:val="0"/>
            <w:vAlign w:val="top"/>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评分项</w:t>
            </w:r>
          </w:p>
        </w:tc>
        <w:tc>
          <w:tcPr>
            <w:tcW w:w="1103" w:type="dxa"/>
            <w:noWrap w:val="0"/>
            <w:vAlign w:val="top"/>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分值</w:t>
            </w:r>
          </w:p>
        </w:tc>
        <w:tc>
          <w:tcPr>
            <w:tcW w:w="12195" w:type="dxa"/>
            <w:noWrap w:val="0"/>
            <w:vAlign w:val="top"/>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050" w:type="dxa"/>
            <w:vMerge w:val="restart"/>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1569" w:type="dxa"/>
            <w:vMerge w:val="restart"/>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开发方案</w:t>
            </w:r>
          </w:p>
        </w:tc>
        <w:tc>
          <w:tcPr>
            <w:tcW w:w="1103" w:type="dxa"/>
            <w:vMerge w:val="restart"/>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20</w:t>
            </w:r>
          </w:p>
        </w:tc>
        <w:tc>
          <w:tcPr>
            <w:tcW w:w="12195" w:type="dxa"/>
            <w:noWrap w:val="0"/>
            <w:vAlign w:val="top"/>
          </w:tcPr>
          <w:p>
            <w:pPr>
              <w:pStyle w:val="11"/>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开发方案结构完整，思路清晰，版面整洁，资料齐全，开发期限、开发总额符合要求，得10分；开发方案结构较完整，思路较清晰，版面较整洁，资料较齐全，开发期限、开发总额基本符合要求，得6分；开发方案结构不完整，思路不清晰，版面不整洁，资料不齐全，开发期限、开发总额不符合要求，得3分</w:t>
            </w:r>
            <w:r>
              <w:rPr>
                <w:rFonts w:hint="eastAsia" w:hAnsi="仿宋_GB2312" w:cs="仿宋_GB2312"/>
                <w:color w:val="000000"/>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50" w:type="dxa"/>
            <w:vMerge w:val="continue"/>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p>
        </w:tc>
        <w:tc>
          <w:tcPr>
            <w:tcW w:w="1569" w:type="dxa"/>
            <w:vMerge w:val="continue"/>
            <w:noWrap w:val="0"/>
            <w:vAlign w:val="top"/>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p>
        </w:tc>
        <w:tc>
          <w:tcPr>
            <w:tcW w:w="1103" w:type="dxa"/>
            <w:vMerge w:val="continue"/>
            <w:noWrap w:val="0"/>
            <w:vAlign w:val="top"/>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p>
        </w:tc>
        <w:tc>
          <w:tcPr>
            <w:tcW w:w="12195" w:type="dxa"/>
            <w:noWrap w:val="0"/>
            <w:vAlign w:val="top"/>
          </w:tcPr>
          <w:p>
            <w:pPr>
              <w:pStyle w:val="11"/>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eastAsia="zh-CN"/>
              </w:rPr>
              <w:t>以单栋建筑屋顶交付时间计（因自然灾害或不可预防突发事件造成建设中段需延期的除外），承诺三个月内建成投产得10分，四个月内得8分，五个月得6分，六个月得4分，超过六个月此项不得分。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050" w:type="dxa"/>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1569" w:type="dxa"/>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支持我县碳中和产业基金</w:t>
            </w:r>
          </w:p>
        </w:tc>
        <w:tc>
          <w:tcPr>
            <w:tcW w:w="1103" w:type="dxa"/>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30</w:t>
            </w:r>
          </w:p>
        </w:tc>
        <w:tc>
          <w:tcPr>
            <w:tcW w:w="12195" w:type="dxa"/>
            <w:noWrap w:val="0"/>
            <w:vAlign w:val="top"/>
          </w:tcPr>
          <w:p>
            <w:pPr>
              <w:pStyle w:val="11"/>
              <w:keepNext w:val="0"/>
              <w:keepLines w:val="0"/>
              <w:pageBreakBefore w:val="0"/>
              <w:kinsoku/>
              <w:wordWrap/>
              <w:overflowPunct/>
              <w:topLinePunct w:val="0"/>
              <w:autoSpaceDE/>
              <w:autoSpaceDN/>
              <w:bidi w:val="0"/>
              <w:adjustRightInd/>
              <w:snapToGrid/>
              <w:spacing w:line="440" w:lineRule="exact"/>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rPr>
              <w:t>每发一度电</w:t>
            </w:r>
            <w:r>
              <w:rPr>
                <w:rFonts w:hint="eastAsia" w:ascii="仿宋_GB2312" w:hAnsi="仿宋_GB2312" w:eastAsia="仿宋_GB2312" w:cs="仿宋_GB2312"/>
                <w:color w:val="000000"/>
                <w:sz w:val="28"/>
                <w:szCs w:val="28"/>
                <w:lang w:eastAsia="zh-CN"/>
              </w:rPr>
              <w:t>提取</w:t>
            </w:r>
            <w:r>
              <w:rPr>
                <w:rFonts w:hint="eastAsia" w:ascii="仿宋_GB2312" w:hAnsi="仿宋_GB2312" w:eastAsia="仿宋_GB2312" w:cs="仿宋_GB2312"/>
                <w:color w:val="000000"/>
                <w:sz w:val="28"/>
                <w:szCs w:val="28"/>
                <w:lang w:val="en-US" w:eastAsia="zh-CN"/>
              </w:rPr>
              <w:t>0.01元支持</w:t>
            </w:r>
            <w:r>
              <w:rPr>
                <w:rFonts w:hint="eastAsia" w:hAnsi="仿宋_GB2312" w:cs="仿宋_GB2312"/>
                <w:color w:val="000000"/>
                <w:sz w:val="28"/>
                <w:szCs w:val="28"/>
                <w:lang w:val="en-US" w:eastAsia="zh-CN"/>
              </w:rPr>
              <w:t>我</w:t>
            </w:r>
            <w:r>
              <w:rPr>
                <w:rFonts w:hint="eastAsia" w:ascii="仿宋_GB2312" w:hAnsi="仿宋_GB2312" w:eastAsia="仿宋_GB2312" w:cs="仿宋_GB2312"/>
                <w:color w:val="000000"/>
                <w:sz w:val="28"/>
                <w:szCs w:val="28"/>
                <w:lang w:eastAsia="zh-CN"/>
              </w:rPr>
              <w:t>县碳中和产业基金的得</w:t>
            </w:r>
            <w:r>
              <w:rPr>
                <w:rFonts w:hint="eastAsia" w:ascii="仿宋_GB2312" w:hAnsi="仿宋_GB2312" w:eastAsia="仿宋_GB2312" w:cs="仿宋_GB2312"/>
                <w:color w:val="000000"/>
                <w:sz w:val="28"/>
                <w:szCs w:val="28"/>
                <w:lang w:val="en-US" w:eastAsia="zh-CN"/>
              </w:rPr>
              <w:t>10分</w:t>
            </w:r>
            <w:r>
              <w:rPr>
                <w:rFonts w:hint="eastAsia" w:hAnsi="仿宋_GB2312" w:cs="仿宋_GB2312"/>
                <w:color w:val="000000"/>
                <w:sz w:val="28"/>
                <w:szCs w:val="28"/>
                <w:lang w:val="en-US" w:eastAsia="zh-CN"/>
              </w:rPr>
              <w:t>，10分</w:t>
            </w:r>
            <w:r>
              <w:rPr>
                <w:rFonts w:hint="eastAsia" w:ascii="仿宋_GB2312" w:hAnsi="仿宋_GB2312" w:eastAsia="仿宋_GB2312" w:cs="仿宋_GB2312"/>
                <w:color w:val="000000"/>
                <w:sz w:val="28"/>
                <w:szCs w:val="28"/>
              </w:rPr>
              <w:t>为</w:t>
            </w:r>
            <w:r>
              <w:rPr>
                <w:rFonts w:hint="eastAsia" w:ascii="仿宋_GB2312" w:hAnsi="仿宋_GB2312" w:eastAsia="仿宋_GB2312" w:cs="仿宋_GB2312"/>
                <w:color w:val="000000"/>
                <w:sz w:val="28"/>
                <w:szCs w:val="28"/>
                <w:lang w:eastAsia="zh-CN"/>
              </w:rPr>
              <w:t>最低得分基准往上竞投，每提高</w:t>
            </w:r>
            <w:r>
              <w:rPr>
                <w:rFonts w:hint="eastAsia" w:ascii="仿宋_GB2312" w:hAnsi="仿宋_GB2312" w:eastAsia="仿宋_GB2312" w:cs="仿宋_GB2312"/>
                <w:color w:val="000000"/>
                <w:sz w:val="28"/>
                <w:szCs w:val="28"/>
                <w:lang w:val="en-US" w:eastAsia="zh-CN"/>
              </w:rPr>
              <w:t>0.005元为一个竞投标准加5分，此项</w:t>
            </w:r>
            <w:r>
              <w:rPr>
                <w:rFonts w:hint="eastAsia" w:ascii="仿宋_GB2312" w:hAnsi="仿宋_GB2312" w:eastAsia="仿宋_GB2312" w:cs="仿宋_GB2312"/>
                <w:color w:val="000000"/>
                <w:sz w:val="28"/>
                <w:szCs w:val="28"/>
                <w:lang w:eastAsia="zh-CN"/>
              </w:rPr>
              <w:t>最高得分为</w:t>
            </w:r>
            <w:r>
              <w:rPr>
                <w:rFonts w:hint="eastAsia" w:ascii="仿宋_GB2312" w:hAnsi="仿宋_GB2312" w:eastAsia="仿宋_GB2312" w:cs="仿宋_GB2312"/>
                <w:color w:val="000000"/>
                <w:sz w:val="28"/>
                <w:szCs w:val="28"/>
                <w:lang w:val="en-US" w:eastAsia="zh-CN"/>
              </w:rPr>
              <w:t>30分</w:t>
            </w:r>
            <w:r>
              <w:rPr>
                <w:rFonts w:hint="eastAsia" w:hAnsi="仿宋_GB2312" w:cs="仿宋_GB2312"/>
                <w:color w:val="000000"/>
                <w:sz w:val="28"/>
                <w:szCs w:val="28"/>
                <w:lang w:val="en-US" w:eastAsia="zh-CN"/>
              </w:rPr>
              <w:t>。（提高不足0.005元不加分，提取金额保留小数点后三位）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50" w:type="dxa"/>
            <w:vMerge w:val="restart"/>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1569" w:type="dxa"/>
            <w:vMerge w:val="restart"/>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b w:val="0"/>
                <w:color w:val="000000"/>
                <w:kern w:val="0"/>
                <w:sz w:val="28"/>
                <w:szCs w:val="28"/>
              </w:rPr>
              <w:t>开发模式</w:t>
            </w:r>
          </w:p>
        </w:tc>
        <w:tc>
          <w:tcPr>
            <w:tcW w:w="1103" w:type="dxa"/>
            <w:vMerge w:val="restart"/>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w:t>
            </w:r>
          </w:p>
        </w:tc>
        <w:tc>
          <w:tcPr>
            <w:tcW w:w="1219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kern w:val="2"/>
                <w:sz w:val="28"/>
                <w:szCs w:val="28"/>
                <w:lang w:val="en-US" w:eastAsia="zh-CN" w:bidi="ar-SA"/>
              </w:rPr>
              <w:t>同意“开发主体+县属国有企业+省、市属国有企业”的三方合作模式，在我县成立项目平台公司的得5分。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50" w:type="dxa"/>
            <w:vMerge w:val="continue"/>
            <w:noWrap w:val="0"/>
            <w:vAlign w:val="top"/>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p>
        </w:tc>
        <w:tc>
          <w:tcPr>
            <w:tcW w:w="1569" w:type="dxa"/>
            <w:vMerge w:val="continue"/>
            <w:noWrap w:val="0"/>
            <w:vAlign w:val="top"/>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b w:val="0"/>
                <w:color w:val="000000"/>
                <w:kern w:val="0"/>
                <w:sz w:val="28"/>
                <w:szCs w:val="28"/>
              </w:rPr>
            </w:pPr>
          </w:p>
        </w:tc>
        <w:tc>
          <w:tcPr>
            <w:tcW w:w="1103" w:type="dxa"/>
            <w:vMerge w:val="continue"/>
            <w:noWrap w:val="0"/>
            <w:vAlign w:val="top"/>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p>
        </w:tc>
        <w:tc>
          <w:tcPr>
            <w:tcW w:w="12195" w:type="dxa"/>
            <w:noWrap w:val="0"/>
            <w:vAlign w:val="top"/>
          </w:tcPr>
          <w:p>
            <w:pPr>
              <w:pStyle w:val="11"/>
              <w:keepNext w:val="0"/>
              <w:keepLines w:val="0"/>
              <w:pageBreakBefore w:val="0"/>
              <w:kinsoku/>
              <w:wordWrap/>
              <w:overflowPunct/>
              <w:topLinePunct w:val="0"/>
              <w:autoSpaceDE/>
              <w:autoSpaceDN/>
              <w:bidi w:val="0"/>
              <w:adjustRightInd/>
              <w:snapToGrid/>
              <w:spacing w:line="440" w:lineRule="exact"/>
              <w:rPr>
                <w:rFonts w:hint="eastAsia" w:hAnsi="仿宋_GB2312" w:cs="仿宋_GB2312"/>
                <w:color w:val="000000"/>
                <w:sz w:val="28"/>
                <w:szCs w:val="28"/>
                <w:vertAlign w:val="baseline"/>
                <w:lang w:val="en-US" w:eastAsia="zh-CN"/>
              </w:rPr>
            </w:pPr>
            <w:r>
              <w:rPr>
                <w:rFonts w:hint="eastAsia" w:hAnsi="仿宋_GB2312" w:cs="仿宋_GB2312"/>
                <w:color w:val="000000"/>
                <w:kern w:val="2"/>
                <w:sz w:val="28"/>
                <w:szCs w:val="28"/>
                <w:lang w:val="en-US" w:eastAsia="zh-CN" w:bidi="ar-SA"/>
              </w:rPr>
              <w:t>承诺中选后在翁源注册成立项目平台</w:t>
            </w:r>
            <w:r>
              <w:rPr>
                <w:rFonts w:hint="eastAsia" w:ascii="仿宋_GB2312" w:hAnsi="仿宋_GB2312" w:eastAsia="仿宋_GB2312" w:cs="仿宋_GB2312"/>
                <w:color w:val="000000"/>
                <w:kern w:val="2"/>
                <w:sz w:val="28"/>
                <w:szCs w:val="28"/>
                <w:lang w:val="en-US" w:eastAsia="zh-CN" w:bidi="ar-SA"/>
              </w:rPr>
              <w:t>公司</w:t>
            </w:r>
            <w:r>
              <w:rPr>
                <w:rFonts w:hint="eastAsia" w:hAnsi="仿宋_GB2312" w:cs="仿宋_GB2312"/>
                <w:color w:val="000000"/>
                <w:kern w:val="2"/>
                <w:sz w:val="28"/>
                <w:szCs w:val="28"/>
                <w:lang w:val="en-US" w:eastAsia="zh-CN" w:bidi="ar-SA"/>
              </w:rPr>
              <w:t>且</w:t>
            </w:r>
            <w:r>
              <w:rPr>
                <w:rFonts w:hint="eastAsia" w:ascii="仿宋_GB2312" w:hAnsi="仿宋_GB2312" w:eastAsia="仿宋_GB2312" w:cs="仿宋_GB2312"/>
                <w:color w:val="000000"/>
                <w:kern w:val="2"/>
                <w:sz w:val="28"/>
                <w:szCs w:val="28"/>
                <w:lang w:val="en-US" w:eastAsia="zh-CN" w:bidi="ar-SA"/>
              </w:rPr>
              <w:t>一星期内</w:t>
            </w:r>
            <w:r>
              <w:rPr>
                <w:rFonts w:hint="eastAsia" w:hAnsi="仿宋_GB2312" w:cs="仿宋_GB2312"/>
                <w:color w:val="000000"/>
                <w:kern w:val="2"/>
                <w:sz w:val="28"/>
                <w:szCs w:val="28"/>
                <w:lang w:val="en-US" w:eastAsia="zh-CN" w:bidi="ar-SA"/>
              </w:rPr>
              <w:t>项目总投资60%以上</w:t>
            </w:r>
            <w:r>
              <w:rPr>
                <w:rFonts w:hint="eastAsia" w:ascii="仿宋_GB2312" w:hAnsi="仿宋_GB2312" w:eastAsia="仿宋_GB2312" w:cs="仿宋_GB2312"/>
                <w:color w:val="000000"/>
                <w:kern w:val="2"/>
                <w:sz w:val="28"/>
                <w:szCs w:val="28"/>
                <w:lang w:val="en-US" w:eastAsia="zh-CN" w:bidi="ar-SA"/>
              </w:rPr>
              <w:t>资本金</w:t>
            </w:r>
            <w:r>
              <w:rPr>
                <w:rFonts w:hint="eastAsia" w:hAnsi="仿宋_GB2312" w:cs="仿宋_GB2312"/>
                <w:color w:val="000000"/>
                <w:kern w:val="2"/>
                <w:sz w:val="28"/>
                <w:szCs w:val="28"/>
                <w:lang w:val="en-US" w:eastAsia="zh-CN" w:bidi="ar-SA"/>
              </w:rPr>
              <w:t>到达翁源账户的得5</w:t>
            </w:r>
            <w:r>
              <w:rPr>
                <w:rFonts w:hint="eastAsia" w:ascii="仿宋_GB2312" w:hAnsi="仿宋_GB2312" w:eastAsia="仿宋_GB2312" w:cs="仿宋_GB2312"/>
                <w:color w:val="000000"/>
                <w:kern w:val="2"/>
                <w:sz w:val="28"/>
                <w:szCs w:val="28"/>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050" w:type="dxa"/>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4</w:t>
            </w:r>
          </w:p>
        </w:tc>
        <w:tc>
          <w:tcPr>
            <w:tcW w:w="1569" w:type="dxa"/>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b w:val="0"/>
                <w:color w:val="000000"/>
                <w:kern w:val="0"/>
                <w:sz w:val="28"/>
                <w:szCs w:val="28"/>
              </w:rPr>
              <w:t>租金</w:t>
            </w:r>
          </w:p>
        </w:tc>
        <w:tc>
          <w:tcPr>
            <w:tcW w:w="1103" w:type="dxa"/>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30</w:t>
            </w:r>
          </w:p>
        </w:tc>
        <w:tc>
          <w:tcPr>
            <w:tcW w:w="12195" w:type="dxa"/>
            <w:noWrap w:val="0"/>
            <w:vAlign w:val="top"/>
          </w:tcPr>
          <w:p>
            <w:pPr>
              <w:pStyle w:val="11"/>
              <w:keepNext w:val="0"/>
              <w:keepLines w:val="0"/>
              <w:pageBreakBefore w:val="0"/>
              <w:kinsoku/>
              <w:wordWrap/>
              <w:overflowPunct/>
              <w:topLinePunct w:val="0"/>
              <w:autoSpaceDE/>
              <w:autoSpaceDN/>
              <w:bidi w:val="0"/>
              <w:adjustRightInd/>
              <w:snapToGrid/>
              <w:spacing w:line="440" w:lineRule="exact"/>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eastAsia="zh-CN"/>
              </w:rPr>
              <w:t>屋顶光伏每平方米板面能给屋顶产权人</w:t>
            </w:r>
            <w:r>
              <w:rPr>
                <w:rFonts w:hint="eastAsia" w:hAnsi="仿宋_GB2312" w:cs="仿宋_GB2312"/>
                <w:color w:val="000000"/>
                <w:sz w:val="28"/>
                <w:szCs w:val="28"/>
                <w:vertAlign w:val="baseline"/>
                <w:lang w:val="en-US" w:eastAsia="zh-CN"/>
              </w:rPr>
              <w:t>租金4-6</w:t>
            </w:r>
            <w:r>
              <w:rPr>
                <w:rFonts w:hint="eastAsia" w:ascii="仿宋_GB2312" w:hAnsi="仿宋_GB2312" w:eastAsia="仿宋_GB2312" w:cs="仿宋_GB2312"/>
                <w:color w:val="000000"/>
                <w:sz w:val="28"/>
                <w:szCs w:val="28"/>
                <w:vertAlign w:val="baseline"/>
                <w:lang w:eastAsia="zh-CN"/>
              </w:rPr>
              <w:t>元/年</w:t>
            </w:r>
            <w:r>
              <w:rPr>
                <w:rFonts w:hint="eastAsia" w:hAnsi="仿宋_GB2312" w:cs="仿宋_GB2312"/>
                <w:color w:val="000000"/>
                <w:sz w:val="28"/>
                <w:szCs w:val="28"/>
                <w:vertAlign w:val="baseline"/>
                <w:lang w:eastAsia="zh-CN"/>
              </w:rPr>
              <w:t>（</w:t>
            </w:r>
            <w:r>
              <w:rPr>
                <w:rFonts w:hint="eastAsia" w:hAnsi="仿宋_GB2312" w:cs="仿宋_GB2312"/>
                <w:color w:val="000000"/>
                <w:sz w:val="28"/>
                <w:szCs w:val="28"/>
                <w:vertAlign w:val="baseline"/>
                <w:lang w:val="en-US" w:eastAsia="zh-CN"/>
              </w:rPr>
              <w:t>含4元，不含6元</w:t>
            </w:r>
            <w:r>
              <w:rPr>
                <w:rFonts w:hint="eastAsia" w:hAnsi="仿宋_GB2312" w:cs="仿宋_GB2312"/>
                <w:color w:val="000000"/>
                <w:sz w:val="28"/>
                <w:szCs w:val="28"/>
                <w:vertAlign w:val="baseline"/>
                <w:lang w:eastAsia="zh-CN"/>
              </w:rPr>
              <w:t>），</w:t>
            </w:r>
            <w:r>
              <w:rPr>
                <w:rFonts w:hint="eastAsia" w:ascii="仿宋_GB2312" w:hAnsi="仿宋_GB2312" w:eastAsia="仿宋_GB2312" w:cs="仿宋_GB2312"/>
                <w:color w:val="000000"/>
                <w:sz w:val="28"/>
                <w:szCs w:val="28"/>
                <w:vertAlign w:val="baseline"/>
                <w:lang w:eastAsia="zh-CN"/>
              </w:rPr>
              <w:t>得1</w:t>
            </w:r>
            <w:r>
              <w:rPr>
                <w:rFonts w:hint="eastAsia" w:hAnsi="仿宋_GB2312" w:cs="仿宋_GB2312"/>
                <w:color w:val="000000"/>
                <w:sz w:val="28"/>
                <w:szCs w:val="28"/>
                <w:vertAlign w:val="baseline"/>
                <w:lang w:val="en-US" w:eastAsia="zh-CN"/>
              </w:rPr>
              <w:t>5</w:t>
            </w:r>
            <w:r>
              <w:rPr>
                <w:rFonts w:hint="eastAsia" w:ascii="仿宋_GB2312" w:hAnsi="仿宋_GB2312" w:eastAsia="仿宋_GB2312" w:cs="仿宋_GB2312"/>
                <w:color w:val="000000"/>
                <w:sz w:val="28"/>
                <w:szCs w:val="28"/>
                <w:vertAlign w:val="baseline"/>
                <w:lang w:eastAsia="zh-CN"/>
              </w:rPr>
              <w:t>分</w:t>
            </w:r>
            <w:r>
              <w:rPr>
                <w:rFonts w:hint="eastAsia" w:hAnsi="仿宋_GB2312" w:cs="仿宋_GB2312"/>
                <w:color w:val="000000"/>
                <w:sz w:val="28"/>
                <w:szCs w:val="28"/>
                <w:vertAlign w:val="baseline"/>
                <w:lang w:val="en-US" w:eastAsia="zh-CN"/>
              </w:rPr>
              <w:t>；</w:t>
            </w:r>
          </w:p>
          <w:p>
            <w:pPr>
              <w:pStyle w:val="11"/>
              <w:keepNext w:val="0"/>
              <w:keepLines w:val="0"/>
              <w:pageBreakBefore w:val="0"/>
              <w:kinsoku/>
              <w:wordWrap/>
              <w:overflowPunct/>
              <w:topLinePunct w:val="0"/>
              <w:autoSpaceDE/>
              <w:autoSpaceDN/>
              <w:bidi w:val="0"/>
              <w:adjustRightInd/>
              <w:snapToGrid/>
              <w:spacing w:line="440" w:lineRule="exact"/>
              <w:rPr>
                <w:rFonts w:hint="eastAsia" w:hAnsi="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eastAsia="zh-CN"/>
              </w:rPr>
              <w:t>屋顶光伏每平方米板面能给屋顶产权人</w:t>
            </w:r>
            <w:r>
              <w:rPr>
                <w:rFonts w:hint="eastAsia" w:hAnsi="仿宋_GB2312" w:cs="仿宋_GB2312"/>
                <w:color w:val="000000"/>
                <w:sz w:val="28"/>
                <w:szCs w:val="28"/>
                <w:vertAlign w:val="baseline"/>
                <w:lang w:val="en-US" w:eastAsia="zh-CN"/>
              </w:rPr>
              <w:t>租金6-8</w:t>
            </w:r>
            <w:r>
              <w:rPr>
                <w:rFonts w:hint="eastAsia" w:ascii="仿宋_GB2312" w:hAnsi="仿宋_GB2312" w:eastAsia="仿宋_GB2312" w:cs="仿宋_GB2312"/>
                <w:color w:val="000000"/>
                <w:sz w:val="28"/>
                <w:szCs w:val="28"/>
                <w:vertAlign w:val="baseline"/>
                <w:lang w:eastAsia="zh-CN"/>
              </w:rPr>
              <w:t>元/年</w:t>
            </w:r>
            <w:r>
              <w:rPr>
                <w:rFonts w:hint="eastAsia" w:hAnsi="仿宋_GB2312" w:cs="仿宋_GB2312"/>
                <w:color w:val="000000"/>
                <w:sz w:val="28"/>
                <w:szCs w:val="28"/>
                <w:vertAlign w:val="baseline"/>
                <w:lang w:eastAsia="zh-CN"/>
              </w:rPr>
              <w:t>（</w:t>
            </w:r>
            <w:r>
              <w:rPr>
                <w:rFonts w:hint="eastAsia" w:hAnsi="仿宋_GB2312" w:cs="仿宋_GB2312"/>
                <w:color w:val="000000"/>
                <w:sz w:val="28"/>
                <w:szCs w:val="28"/>
                <w:vertAlign w:val="baseline"/>
                <w:lang w:val="en-US" w:eastAsia="zh-CN"/>
              </w:rPr>
              <w:t>含8元</w:t>
            </w:r>
            <w:r>
              <w:rPr>
                <w:rFonts w:hint="eastAsia" w:hAnsi="仿宋_GB2312" w:cs="仿宋_GB2312"/>
                <w:color w:val="000000"/>
                <w:sz w:val="28"/>
                <w:szCs w:val="28"/>
                <w:vertAlign w:val="baseline"/>
                <w:lang w:eastAsia="zh-CN"/>
              </w:rPr>
              <w:t>），</w:t>
            </w:r>
            <w:r>
              <w:rPr>
                <w:rFonts w:hint="eastAsia" w:ascii="仿宋_GB2312" w:hAnsi="仿宋_GB2312" w:eastAsia="仿宋_GB2312" w:cs="仿宋_GB2312"/>
                <w:color w:val="000000"/>
                <w:sz w:val="28"/>
                <w:szCs w:val="28"/>
                <w:vertAlign w:val="baseline"/>
                <w:lang w:eastAsia="zh-CN"/>
              </w:rPr>
              <w:t>得</w:t>
            </w:r>
            <w:r>
              <w:rPr>
                <w:rFonts w:hint="eastAsia" w:hAnsi="仿宋_GB2312" w:cs="仿宋_GB2312"/>
                <w:color w:val="000000"/>
                <w:sz w:val="28"/>
                <w:szCs w:val="28"/>
                <w:vertAlign w:val="baseline"/>
                <w:lang w:val="en-US" w:eastAsia="zh-CN"/>
              </w:rPr>
              <w:t>25</w:t>
            </w:r>
            <w:r>
              <w:rPr>
                <w:rFonts w:hint="eastAsia" w:ascii="仿宋_GB2312" w:hAnsi="仿宋_GB2312" w:eastAsia="仿宋_GB2312" w:cs="仿宋_GB2312"/>
                <w:color w:val="000000"/>
                <w:sz w:val="28"/>
                <w:szCs w:val="28"/>
                <w:vertAlign w:val="baseline"/>
                <w:lang w:eastAsia="zh-CN"/>
              </w:rPr>
              <w:t>分</w:t>
            </w:r>
            <w:r>
              <w:rPr>
                <w:rFonts w:hint="eastAsia" w:hAnsi="仿宋_GB2312" w:cs="仿宋_GB2312"/>
                <w:color w:val="000000"/>
                <w:sz w:val="28"/>
                <w:szCs w:val="28"/>
                <w:vertAlign w:val="baseline"/>
                <w:lang w:eastAsia="zh-CN"/>
              </w:rPr>
              <w:t>；</w:t>
            </w:r>
          </w:p>
          <w:p>
            <w:pPr>
              <w:pStyle w:val="11"/>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eastAsia="zh-CN"/>
              </w:rPr>
              <w:t>屋顶光伏每平方米板面能给屋顶产权人</w:t>
            </w:r>
            <w:r>
              <w:rPr>
                <w:rFonts w:hint="eastAsia" w:hAnsi="仿宋_GB2312" w:cs="仿宋_GB2312"/>
                <w:color w:val="000000"/>
                <w:sz w:val="28"/>
                <w:szCs w:val="28"/>
                <w:vertAlign w:val="baseline"/>
                <w:lang w:val="en-US" w:eastAsia="zh-CN"/>
              </w:rPr>
              <w:t>租金8</w:t>
            </w:r>
            <w:r>
              <w:rPr>
                <w:rFonts w:hint="eastAsia" w:ascii="仿宋_GB2312" w:hAnsi="仿宋_GB2312" w:eastAsia="仿宋_GB2312" w:cs="仿宋_GB2312"/>
                <w:color w:val="000000"/>
                <w:sz w:val="28"/>
                <w:szCs w:val="28"/>
                <w:vertAlign w:val="baseline"/>
                <w:lang w:eastAsia="zh-CN"/>
              </w:rPr>
              <w:t>元/年</w:t>
            </w:r>
            <w:r>
              <w:rPr>
                <w:rFonts w:hint="eastAsia" w:hAnsi="仿宋_GB2312" w:cs="仿宋_GB2312"/>
                <w:color w:val="000000"/>
                <w:sz w:val="28"/>
                <w:szCs w:val="28"/>
                <w:vertAlign w:val="baseline"/>
                <w:lang w:val="en-US" w:eastAsia="zh-CN"/>
              </w:rPr>
              <w:t>以上的</w:t>
            </w:r>
            <w:r>
              <w:rPr>
                <w:rFonts w:hint="eastAsia" w:ascii="仿宋_GB2312" w:hAnsi="仿宋_GB2312" w:eastAsia="仿宋_GB2312" w:cs="仿宋_GB2312"/>
                <w:color w:val="000000"/>
                <w:sz w:val="28"/>
                <w:szCs w:val="28"/>
                <w:vertAlign w:val="baseline"/>
                <w:lang w:eastAsia="zh-CN"/>
              </w:rPr>
              <w:t>，每提高0.5元/年加</w:t>
            </w:r>
            <w:r>
              <w:rPr>
                <w:rFonts w:hint="eastAsia" w:hAnsi="仿宋_GB2312" w:cs="仿宋_GB2312"/>
                <w:color w:val="000000"/>
                <w:sz w:val="28"/>
                <w:szCs w:val="28"/>
                <w:vertAlign w:val="baseline"/>
                <w:lang w:val="en-US" w:eastAsia="zh-CN"/>
              </w:rPr>
              <w:t>1</w:t>
            </w:r>
            <w:r>
              <w:rPr>
                <w:rFonts w:hint="eastAsia" w:ascii="仿宋_GB2312" w:hAnsi="仿宋_GB2312" w:eastAsia="仿宋_GB2312" w:cs="仿宋_GB2312"/>
                <w:color w:val="000000"/>
                <w:sz w:val="28"/>
                <w:szCs w:val="28"/>
                <w:vertAlign w:val="baseline"/>
                <w:lang w:eastAsia="zh-CN"/>
              </w:rPr>
              <w:t>分，此项最高得分为30分。</w:t>
            </w:r>
            <w:r>
              <w:rPr>
                <w:rFonts w:hint="eastAsia" w:hAnsi="仿宋_GB2312" w:cs="仿宋_GB2312"/>
                <w:color w:val="000000"/>
                <w:sz w:val="28"/>
                <w:szCs w:val="28"/>
                <w:lang w:val="en-US" w:eastAsia="zh-CN"/>
              </w:rPr>
              <w:t>（提高不足0.5元/年不加分，租金保留小数点后一位）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trPr>
        <w:tc>
          <w:tcPr>
            <w:tcW w:w="1050" w:type="dxa"/>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1569" w:type="dxa"/>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企业实力</w:t>
            </w:r>
          </w:p>
        </w:tc>
        <w:tc>
          <w:tcPr>
            <w:tcW w:w="1103" w:type="dxa"/>
            <w:noWrap w:val="0"/>
            <w:vAlign w:val="center"/>
          </w:tcPr>
          <w:p>
            <w:pPr>
              <w:pStyle w:val="11"/>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w:t>
            </w:r>
          </w:p>
        </w:tc>
        <w:tc>
          <w:tcPr>
            <w:tcW w:w="12195" w:type="dxa"/>
            <w:noWrap w:val="0"/>
            <w:vAlign w:val="top"/>
          </w:tcPr>
          <w:p>
            <w:pPr>
              <w:pStyle w:val="11"/>
              <w:keepNext w:val="0"/>
              <w:keepLines w:val="0"/>
              <w:pageBreakBefore w:val="0"/>
              <w:numPr>
                <w:ilvl w:val="0"/>
                <w:numId w:val="0"/>
              </w:numPr>
              <w:kinsoku/>
              <w:wordWrap/>
              <w:overflowPunct/>
              <w:topLinePunct w:val="0"/>
              <w:autoSpaceDE/>
              <w:autoSpaceDN/>
              <w:bidi w:val="0"/>
              <w:adjustRightInd/>
              <w:snapToGrid/>
              <w:spacing w:line="440" w:lineRule="exact"/>
              <w:rPr>
                <w:rFonts w:hint="default" w:hAnsi="仿宋_GB2312" w:cs="仿宋_GB2312"/>
                <w:color w:val="000000"/>
                <w:sz w:val="28"/>
                <w:szCs w:val="28"/>
                <w:vertAlign w:val="baseline"/>
                <w:lang w:val="en-US" w:eastAsia="zh-CN"/>
              </w:rPr>
            </w:pPr>
            <w:r>
              <w:rPr>
                <w:rFonts w:hint="eastAsia" w:hAnsi="仿宋_GB2312" w:cs="仿宋_GB2312"/>
                <w:color w:val="000000"/>
                <w:sz w:val="28"/>
                <w:szCs w:val="28"/>
                <w:vertAlign w:val="baseline"/>
                <w:lang w:val="en-US" w:eastAsia="zh-CN"/>
              </w:rPr>
              <w:t>1.</w:t>
            </w:r>
            <w:r>
              <w:rPr>
                <w:rFonts w:hint="default" w:hAnsi="仿宋_GB2312" w:cs="仿宋_GB2312"/>
                <w:color w:val="000000"/>
                <w:sz w:val="28"/>
                <w:szCs w:val="28"/>
                <w:vertAlign w:val="baseline"/>
                <w:lang w:val="en-US" w:eastAsia="zh-CN"/>
              </w:rPr>
              <w:t>企业能提供参与国内地级市分布式光伏项目整体开发成功案例</w:t>
            </w:r>
            <w:r>
              <w:rPr>
                <w:rFonts w:hint="eastAsia" w:hAnsi="仿宋_GB2312" w:cs="仿宋_GB2312"/>
                <w:color w:val="000000"/>
                <w:sz w:val="28"/>
                <w:szCs w:val="28"/>
                <w:vertAlign w:val="baseline"/>
                <w:lang w:val="en-US" w:eastAsia="zh-CN"/>
              </w:rPr>
              <w:t>2个以上</w:t>
            </w:r>
            <w:r>
              <w:rPr>
                <w:rFonts w:hint="default" w:hAnsi="仿宋_GB2312" w:cs="仿宋_GB2312"/>
                <w:color w:val="000000"/>
                <w:sz w:val="28"/>
                <w:szCs w:val="28"/>
                <w:vertAlign w:val="baseline"/>
                <w:lang w:val="en-US" w:eastAsia="zh-CN"/>
              </w:rPr>
              <w:t>的得10分；</w:t>
            </w:r>
          </w:p>
          <w:p>
            <w:pPr>
              <w:pStyle w:val="11"/>
              <w:keepNext w:val="0"/>
              <w:keepLines w:val="0"/>
              <w:pageBreakBefore w:val="0"/>
              <w:numPr>
                <w:ilvl w:val="0"/>
                <w:numId w:val="0"/>
              </w:numPr>
              <w:kinsoku/>
              <w:wordWrap/>
              <w:overflowPunct/>
              <w:topLinePunct w:val="0"/>
              <w:autoSpaceDE/>
              <w:autoSpaceDN/>
              <w:bidi w:val="0"/>
              <w:adjustRightInd/>
              <w:snapToGrid/>
              <w:spacing w:line="440" w:lineRule="exact"/>
              <w:rPr>
                <w:rFonts w:hint="default" w:hAnsi="仿宋_GB2312" w:cs="仿宋_GB2312"/>
                <w:color w:val="000000"/>
                <w:sz w:val="28"/>
                <w:szCs w:val="28"/>
                <w:vertAlign w:val="baseline"/>
                <w:lang w:val="en-US" w:eastAsia="zh-CN"/>
              </w:rPr>
            </w:pPr>
            <w:r>
              <w:rPr>
                <w:rFonts w:hint="eastAsia" w:hAnsi="仿宋_GB2312" w:cs="仿宋_GB2312"/>
                <w:color w:val="000000"/>
                <w:sz w:val="28"/>
                <w:szCs w:val="28"/>
                <w:vertAlign w:val="baseline"/>
                <w:lang w:val="en-US" w:eastAsia="zh-CN"/>
              </w:rPr>
              <w:t>2.</w:t>
            </w:r>
            <w:r>
              <w:rPr>
                <w:rFonts w:hint="default" w:hAnsi="仿宋_GB2312" w:cs="仿宋_GB2312"/>
                <w:color w:val="000000"/>
                <w:sz w:val="28"/>
                <w:szCs w:val="28"/>
                <w:vertAlign w:val="baseline"/>
                <w:lang w:val="en-US" w:eastAsia="zh-CN"/>
              </w:rPr>
              <w:t>能提供参与国内县级城市分布式光伏项目整体开发成功案例</w:t>
            </w:r>
            <w:r>
              <w:rPr>
                <w:rFonts w:hint="eastAsia" w:hAnsi="仿宋_GB2312" w:cs="仿宋_GB2312"/>
                <w:color w:val="000000"/>
                <w:sz w:val="28"/>
                <w:szCs w:val="28"/>
                <w:vertAlign w:val="baseline"/>
                <w:lang w:val="en-US" w:eastAsia="zh-CN"/>
              </w:rPr>
              <w:t>2个以上</w:t>
            </w:r>
            <w:r>
              <w:rPr>
                <w:rFonts w:hint="default" w:hAnsi="仿宋_GB2312" w:cs="仿宋_GB2312"/>
                <w:color w:val="000000"/>
                <w:sz w:val="28"/>
                <w:szCs w:val="28"/>
                <w:vertAlign w:val="baseline"/>
                <w:lang w:val="en-US" w:eastAsia="zh-CN"/>
              </w:rPr>
              <w:t>的得8分；</w:t>
            </w:r>
          </w:p>
          <w:p>
            <w:pPr>
              <w:pStyle w:val="11"/>
              <w:keepNext w:val="0"/>
              <w:keepLines w:val="0"/>
              <w:pageBreakBefore w:val="0"/>
              <w:numPr>
                <w:ilvl w:val="0"/>
                <w:numId w:val="0"/>
              </w:numPr>
              <w:kinsoku/>
              <w:wordWrap/>
              <w:overflowPunct/>
              <w:topLinePunct w:val="0"/>
              <w:autoSpaceDE/>
              <w:autoSpaceDN/>
              <w:bidi w:val="0"/>
              <w:adjustRightInd/>
              <w:snapToGrid/>
              <w:spacing w:line="440" w:lineRule="exact"/>
              <w:rPr>
                <w:rFonts w:hint="default" w:hAnsi="仿宋_GB2312" w:cs="仿宋_GB2312"/>
                <w:color w:val="000000"/>
                <w:sz w:val="28"/>
                <w:szCs w:val="28"/>
                <w:vertAlign w:val="baseline"/>
                <w:lang w:val="en-US" w:eastAsia="zh-CN"/>
              </w:rPr>
            </w:pPr>
            <w:r>
              <w:rPr>
                <w:rFonts w:hint="eastAsia" w:hAnsi="仿宋_GB2312" w:cs="仿宋_GB2312"/>
                <w:color w:val="000000"/>
                <w:sz w:val="28"/>
                <w:szCs w:val="28"/>
                <w:vertAlign w:val="baseline"/>
                <w:lang w:val="en-US" w:eastAsia="zh-CN"/>
              </w:rPr>
              <w:t>3.</w:t>
            </w:r>
            <w:r>
              <w:rPr>
                <w:rFonts w:hint="default" w:hAnsi="仿宋_GB2312" w:cs="仿宋_GB2312"/>
                <w:color w:val="000000"/>
                <w:sz w:val="28"/>
                <w:szCs w:val="28"/>
                <w:vertAlign w:val="baseline"/>
                <w:lang w:val="en-US" w:eastAsia="zh-CN"/>
              </w:rPr>
              <w:t>未实施过分布式光伏整体开发项目，</w:t>
            </w:r>
            <w:r>
              <w:rPr>
                <w:rFonts w:hint="eastAsia" w:hAnsi="仿宋_GB2312" w:cs="仿宋_GB2312"/>
                <w:color w:val="000000"/>
                <w:sz w:val="28"/>
                <w:szCs w:val="28"/>
                <w:vertAlign w:val="baseline"/>
                <w:lang w:val="en-US" w:eastAsia="zh-CN"/>
              </w:rPr>
              <w:t>但</w:t>
            </w:r>
            <w:r>
              <w:rPr>
                <w:rFonts w:hint="default" w:hAnsi="仿宋_GB2312" w:cs="仿宋_GB2312"/>
                <w:color w:val="000000"/>
                <w:sz w:val="28"/>
                <w:szCs w:val="28"/>
                <w:vertAlign w:val="baseline"/>
                <w:lang w:val="en-US" w:eastAsia="zh-CN"/>
              </w:rPr>
              <w:t>企业属于新能源发电领域经国家相关部委认定的龙头企业的得10分，属省级政府部门认定的龙头企业得8分，不属于国家及省级认定的龙头企业</w:t>
            </w:r>
            <w:r>
              <w:rPr>
                <w:rFonts w:hint="eastAsia" w:hAnsi="仿宋_GB2312" w:cs="仿宋_GB2312"/>
                <w:color w:val="000000"/>
                <w:sz w:val="28"/>
                <w:szCs w:val="28"/>
                <w:vertAlign w:val="baseline"/>
                <w:lang w:val="en-US" w:eastAsia="zh-CN"/>
              </w:rPr>
              <w:t>但</w:t>
            </w:r>
            <w:r>
              <w:rPr>
                <w:rFonts w:hint="default" w:hAnsi="仿宋_GB2312" w:cs="仿宋_GB2312"/>
                <w:color w:val="000000"/>
                <w:sz w:val="28"/>
                <w:szCs w:val="28"/>
                <w:vertAlign w:val="baseline"/>
                <w:lang w:val="en-US" w:eastAsia="zh-CN"/>
              </w:rPr>
              <w:t>属于新能源发电领域上市</w:t>
            </w:r>
            <w:r>
              <w:rPr>
                <w:rFonts w:hint="eastAsia" w:hAnsi="仿宋_GB2312" w:cs="仿宋_GB2312"/>
                <w:color w:val="000000"/>
                <w:sz w:val="28"/>
                <w:szCs w:val="28"/>
                <w:vertAlign w:val="baseline"/>
                <w:lang w:val="en-US" w:eastAsia="zh-CN"/>
              </w:rPr>
              <w:t>企业</w:t>
            </w:r>
            <w:r>
              <w:rPr>
                <w:rFonts w:hint="default" w:hAnsi="仿宋_GB2312" w:cs="仿宋_GB2312"/>
                <w:color w:val="000000"/>
                <w:sz w:val="28"/>
                <w:szCs w:val="28"/>
                <w:vertAlign w:val="baseline"/>
                <w:lang w:val="en-US" w:eastAsia="zh-CN"/>
              </w:rPr>
              <w:t>的得6分；</w:t>
            </w:r>
          </w:p>
          <w:p>
            <w:pPr>
              <w:pStyle w:val="11"/>
              <w:keepNext w:val="0"/>
              <w:keepLines w:val="0"/>
              <w:pageBreakBefore w:val="0"/>
              <w:numPr>
                <w:ilvl w:val="0"/>
                <w:numId w:val="0"/>
              </w:numPr>
              <w:kinsoku/>
              <w:wordWrap/>
              <w:overflowPunct/>
              <w:topLinePunct w:val="0"/>
              <w:autoSpaceDE/>
              <w:autoSpaceDN/>
              <w:bidi w:val="0"/>
              <w:adjustRightInd/>
              <w:snapToGrid/>
              <w:spacing w:line="440" w:lineRule="exact"/>
              <w:rPr>
                <w:rFonts w:hint="default" w:hAnsi="仿宋_GB2312" w:cs="仿宋_GB2312"/>
                <w:color w:val="000000"/>
                <w:sz w:val="28"/>
                <w:szCs w:val="28"/>
                <w:vertAlign w:val="baseline"/>
                <w:lang w:val="en-US" w:eastAsia="zh-CN"/>
              </w:rPr>
            </w:pPr>
            <w:r>
              <w:rPr>
                <w:rFonts w:hint="eastAsia" w:hAnsi="仿宋_GB2312" w:cs="仿宋_GB2312"/>
                <w:color w:val="000000"/>
                <w:sz w:val="28"/>
                <w:szCs w:val="28"/>
                <w:vertAlign w:val="baseline"/>
                <w:lang w:val="en-US" w:eastAsia="zh-CN"/>
              </w:rPr>
              <w:t>4.</w:t>
            </w:r>
            <w:r>
              <w:rPr>
                <w:rFonts w:hint="default" w:hAnsi="仿宋_GB2312" w:cs="仿宋_GB2312"/>
                <w:color w:val="000000"/>
                <w:sz w:val="28"/>
                <w:szCs w:val="28"/>
                <w:vertAlign w:val="baseline"/>
                <w:lang w:val="en-US" w:eastAsia="zh-CN"/>
              </w:rPr>
              <w:t>不属于以上三类情形，但能提供2020年</w:t>
            </w:r>
            <w:r>
              <w:rPr>
                <w:rFonts w:hint="eastAsia" w:hAnsi="仿宋_GB2312" w:cs="仿宋_GB2312"/>
                <w:color w:val="000000"/>
                <w:sz w:val="28"/>
                <w:szCs w:val="28"/>
                <w:vertAlign w:val="baseline"/>
                <w:lang w:val="en-US" w:eastAsia="zh-CN"/>
              </w:rPr>
              <w:t>、2021年</w:t>
            </w:r>
            <w:r>
              <w:rPr>
                <w:rFonts w:hint="default" w:hAnsi="仿宋_GB2312" w:cs="仿宋_GB2312"/>
                <w:color w:val="000000"/>
                <w:sz w:val="28"/>
                <w:szCs w:val="28"/>
                <w:vertAlign w:val="baseline"/>
                <w:lang w:val="en-US" w:eastAsia="zh-CN"/>
              </w:rPr>
              <w:t>财务报表且企业盈利较好，主营业务符合国家政策扶持领域的得5分；</w:t>
            </w:r>
            <w:bookmarkStart w:id="0" w:name="_GoBack"/>
            <w:bookmarkEnd w:id="0"/>
          </w:p>
          <w:p>
            <w:pPr>
              <w:pStyle w:val="11"/>
              <w:keepNext w:val="0"/>
              <w:keepLines w:val="0"/>
              <w:pageBreakBefore w:val="0"/>
              <w:numPr>
                <w:ilvl w:val="0"/>
                <w:numId w:val="0"/>
              </w:numPr>
              <w:kinsoku/>
              <w:wordWrap/>
              <w:overflowPunct/>
              <w:topLinePunct w:val="0"/>
              <w:autoSpaceDE/>
              <w:autoSpaceDN/>
              <w:bidi w:val="0"/>
              <w:adjustRightInd/>
              <w:snapToGrid/>
              <w:spacing w:line="440" w:lineRule="exact"/>
              <w:rPr>
                <w:rFonts w:hint="default" w:hAnsi="仿宋_GB2312" w:cs="仿宋_GB2312"/>
                <w:color w:val="000000"/>
                <w:sz w:val="28"/>
                <w:szCs w:val="28"/>
                <w:vertAlign w:val="baseline"/>
                <w:lang w:val="en-US" w:eastAsia="zh-CN"/>
              </w:rPr>
            </w:pPr>
            <w:r>
              <w:rPr>
                <w:rFonts w:hint="eastAsia" w:hAnsi="仿宋_GB2312" w:cs="仿宋_GB2312"/>
                <w:color w:val="000000"/>
                <w:sz w:val="28"/>
                <w:szCs w:val="28"/>
                <w:vertAlign w:val="baseline"/>
                <w:lang w:val="en-US" w:eastAsia="zh-CN"/>
              </w:rPr>
              <w:t>5.</w:t>
            </w:r>
            <w:r>
              <w:rPr>
                <w:rFonts w:hint="default" w:hAnsi="仿宋_GB2312" w:cs="仿宋_GB2312"/>
                <w:color w:val="000000"/>
                <w:sz w:val="28"/>
                <w:szCs w:val="28"/>
                <w:vertAlign w:val="baseline"/>
                <w:lang w:val="en-US" w:eastAsia="zh-CN"/>
              </w:rPr>
              <w:t>均不属于以上情况的，按企业能提供的材料视情况得1-3分</w:t>
            </w:r>
            <w:r>
              <w:rPr>
                <w:rFonts w:hint="eastAsia" w:hAnsi="仿宋_GB2312" w:cs="仿宋_GB2312"/>
                <w:color w:val="000000"/>
                <w:sz w:val="28"/>
                <w:szCs w:val="28"/>
                <w:vertAlign w:val="baseline"/>
                <w:lang w:val="en-US" w:eastAsia="zh-CN"/>
              </w:rPr>
              <w:t>；</w:t>
            </w:r>
          </w:p>
          <w:p>
            <w:pPr>
              <w:pStyle w:val="11"/>
              <w:keepNext w:val="0"/>
              <w:keepLines w:val="0"/>
              <w:pageBreakBefore w:val="0"/>
              <w:numPr>
                <w:ilvl w:val="0"/>
                <w:numId w:val="0"/>
              </w:numPr>
              <w:kinsoku/>
              <w:wordWrap/>
              <w:overflowPunct/>
              <w:topLinePunct w:val="0"/>
              <w:autoSpaceDE/>
              <w:autoSpaceDN/>
              <w:bidi w:val="0"/>
              <w:adjustRightInd/>
              <w:snapToGrid/>
              <w:spacing w:line="440" w:lineRule="exact"/>
              <w:rPr>
                <w:rFonts w:hint="default" w:hAnsi="仿宋_GB2312" w:cs="仿宋_GB2312"/>
                <w:color w:val="000000"/>
                <w:sz w:val="28"/>
                <w:szCs w:val="28"/>
                <w:vertAlign w:val="baseline"/>
                <w:lang w:val="en-US" w:eastAsia="zh-CN"/>
              </w:rPr>
            </w:pPr>
            <w:r>
              <w:rPr>
                <w:rFonts w:hint="eastAsia" w:hAnsi="仿宋_GB2312" w:cs="仿宋_GB2312"/>
                <w:color w:val="000000"/>
                <w:sz w:val="28"/>
                <w:szCs w:val="28"/>
                <w:vertAlign w:val="baseline"/>
                <w:lang w:val="en-US" w:eastAsia="zh-CN"/>
              </w:rPr>
              <w:t>上述各项</w:t>
            </w:r>
            <w:r>
              <w:rPr>
                <w:rFonts w:hint="default" w:hAnsi="仿宋_GB2312" w:cs="仿宋_GB2312"/>
                <w:color w:val="000000"/>
                <w:sz w:val="28"/>
                <w:szCs w:val="28"/>
                <w:vertAlign w:val="baseline"/>
                <w:lang w:val="en-US" w:eastAsia="zh-CN"/>
              </w:rPr>
              <w:t>不重复计分，按单项最高得分计，最高得分为10分。</w:t>
            </w:r>
          </w:p>
        </w:tc>
      </w:tr>
    </w:tbl>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lang w:val="en-US" w:eastAsia="zh-CN"/>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wUnBweIBAADMAwAADgAA&#10;AAAAAAABACAAAAAeAQAAZHJzL2Uyb0RvYy54bWxQSwUGAAAAAAYABgBZAQAAcg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TYyYjg0ZGM1NTkzZmYxN2EzYzgxYjhhZWVmZmYifQ=="/>
  </w:docVars>
  <w:rsids>
    <w:rsidRoot w:val="00931CFA"/>
    <w:rsid w:val="000830D3"/>
    <w:rsid w:val="00086DEE"/>
    <w:rsid w:val="000A40AF"/>
    <w:rsid w:val="002D7E96"/>
    <w:rsid w:val="005C52D5"/>
    <w:rsid w:val="00717965"/>
    <w:rsid w:val="008B6CC1"/>
    <w:rsid w:val="00931CFA"/>
    <w:rsid w:val="011473B7"/>
    <w:rsid w:val="026659F0"/>
    <w:rsid w:val="032653DC"/>
    <w:rsid w:val="03541ED8"/>
    <w:rsid w:val="04C234CB"/>
    <w:rsid w:val="05461C13"/>
    <w:rsid w:val="07E26769"/>
    <w:rsid w:val="0900727D"/>
    <w:rsid w:val="0B575804"/>
    <w:rsid w:val="0B586F39"/>
    <w:rsid w:val="0B5B5039"/>
    <w:rsid w:val="0BC83F75"/>
    <w:rsid w:val="0C5F4F61"/>
    <w:rsid w:val="0DB07A93"/>
    <w:rsid w:val="0F777827"/>
    <w:rsid w:val="0F9D2F51"/>
    <w:rsid w:val="118A2F1B"/>
    <w:rsid w:val="123B4B72"/>
    <w:rsid w:val="12570928"/>
    <w:rsid w:val="12947290"/>
    <w:rsid w:val="129B4991"/>
    <w:rsid w:val="1474536A"/>
    <w:rsid w:val="1575489B"/>
    <w:rsid w:val="15A41965"/>
    <w:rsid w:val="15BD16DE"/>
    <w:rsid w:val="163D2226"/>
    <w:rsid w:val="16C516D4"/>
    <w:rsid w:val="16DB399D"/>
    <w:rsid w:val="17352C49"/>
    <w:rsid w:val="175B0C35"/>
    <w:rsid w:val="178276AC"/>
    <w:rsid w:val="17B06555"/>
    <w:rsid w:val="18292DE8"/>
    <w:rsid w:val="18780AF1"/>
    <w:rsid w:val="18EF453A"/>
    <w:rsid w:val="198C47C6"/>
    <w:rsid w:val="19B13531"/>
    <w:rsid w:val="1A9C5019"/>
    <w:rsid w:val="1AAC06AC"/>
    <w:rsid w:val="1AF70B3E"/>
    <w:rsid w:val="1B2D3429"/>
    <w:rsid w:val="1B971C38"/>
    <w:rsid w:val="1C136791"/>
    <w:rsid w:val="1CB961D6"/>
    <w:rsid w:val="1CC81FA3"/>
    <w:rsid w:val="1D1E2860"/>
    <w:rsid w:val="1E1807ED"/>
    <w:rsid w:val="22EB3155"/>
    <w:rsid w:val="23350C13"/>
    <w:rsid w:val="23636725"/>
    <w:rsid w:val="23E3102D"/>
    <w:rsid w:val="249A07E8"/>
    <w:rsid w:val="24FE4067"/>
    <w:rsid w:val="25102EC3"/>
    <w:rsid w:val="25C234F9"/>
    <w:rsid w:val="264F1780"/>
    <w:rsid w:val="26B65323"/>
    <w:rsid w:val="27C6428C"/>
    <w:rsid w:val="289F2CFC"/>
    <w:rsid w:val="28F50BB9"/>
    <w:rsid w:val="29590AF7"/>
    <w:rsid w:val="2A0C2A72"/>
    <w:rsid w:val="2A0C65CE"/>
    <w:rsid w:val="2A5E4828"/>
    <w:rsid w:val="2B364777"/>
    <w:rsid w:val="2B8852D8"/>
    <w:rsid w:val="2BE933C0"/>
    <w:rsid w:val="2E241B6F"/>
    <w:rsid w:val="2E3650CD"/>
    <w:rsid w:val="2EA7310E"/>
    <w:rsid w:val="2EB407F7"/>
    <w:rsid w:val="2FD915F5"/>
    <w:rsid w:val="3037780B"/>
    <w:rsid w:val="31910F42"/>
    <w:rsid w:val="31B23F84"/>
    <w:rsid w:val="31FF78E7"/>
    <w:rsid w:val="32C33F44"/>
    <w:rsid w:val="33A875A7"/>
    <w:rsid w:val="33F31135"/>
    <w:rsid w:val="34401C96"/>
    <w:rsid w:val="3465326F"/>
    <w:rsid w:val="349F46E1"/>
    <w:rsid w:val="351213EF"/>
    <w:rsid w:val="35310360"/>
    <w:rsid w:val="356618E2"/>
    <w:rsid w:val="35753950"/>
    <w:rsid w:val="35A73F4E"/>
    <w:rsid w:val="36703B69"/>
    <w:rsid w:val="36C0433D"/>
    <w:rsid w:val="37A8202C"/>
    <w:rsid w:val="38547ABE"/>
    <w:rsid w:val="38F47CA0"/>
    <w:rsid w:val="3971405F"/>
    <w:rsid w:val="39843397"/>
    <w:rsid w:val="3A565C15"/>
    <w:rsid w:val="3A887375"/>
    <w:rsid w:val="3BEA0202"/>
    <w:rsid w:val="3CDE7BB8"/>
    <w:rsid w:val="3D183A45"/>
    <w:rsid w:val="3D70118D"/>
    <w:rsid w:val="3DE85AA2"/>
    <w:rsid w:val="3DFA4C63"/>
    <w:rsid w:val="3E0C5F8D"/>
    <w:rsid w:val="3E9230EE"/>
    <w:rsid w:val="3EEA09C3"/>
    <w:rsid w:val="3F0D3CFA"/>
    <w:rsid w:val="3F886B2B"/>
    <w:rsid w:val="3FD70447"/>
    <w:rsid w:val="41446C2F"/>
    <w:rsid w:val="41A36126"/>
    <w:rsid w:val="41E974C9"/>
    <w:rsid w:val="420F1725"/>
    <w:rsid w:val="42302199"/>
    <w:rsid w:val="42C618EB"/>
    <w:rsid w:val="4397767E"/>
    <w:rsid w:val="45C86B5B"/>
    <w:rsid w:val="45D826C3"/>
    <w:rsid w:val="46E12278"/>
    <w:rsid w:val="473A07C7"/>
    <w:rsid w:val="473D08D8"/>
    <w:rsid w:val="477B4524"/>
    <w:rsid w:val="48B83745"/>
    <w:rsid w:val="49DD7F47"/>
    <w:rsid w:val="4A1B301C"/>
    <w:rsid w:val="4B2A2659"/>
    <w:rsid w:val="4BDF2047"/>
    <w:rsid w:val="4E511556"/>
    <w:rsid w:val="4FC54545"/>
    <w:rsid w:val="4FC66061"/>
    <w:rsid w:val="4FCD2F41"/>
    <w:rsid w:val="4FEF4C7B"/>
    <w:rsid w:val="51876D00"/>
    <w:rsid w:val="51AE46B5"/>
    <w:rsid w:val="526E7BB2"/>
    <w:rsid w:val="534005ED"/>
    <w:rsid w:val="53D2334F"/>
    <w:rsid w:val="55DB198C"/>
    <w:rsid w:val="565129A9"/>
    <w:rsid w:val="56826D71"/>
    <w:rsid w:val="576178A6"/>
    <w:rsid w:val="581F1A3E"/>
    <w:rsid w:val="584319F3"/>
    <w:rsid w:val="58B32FE7"/>
    <w:rsid w:val="599B590C"/>
    <w:rsid w:val="59E8796D"/>
    <w:rsid w:val="5AA0484E"/>
    <w:rsid w:val="5B7355C6"/>
    <w:rsid w:val="5E3675FA"/>
    <w:rsid w:val="5EAB2B5C"/>
    <w:rsid w:val="5F044480"/>
    <w:rsid w:val="5FD362BC"/>
    <w:rsid w:val="61556382"/>
    <w:rsid w:val="61632C2C"/>
    <w:rsid w:val="629B2820"/>
    <w:rsid w:val="634E2D04"/>
    <w:rsid w:val="63757D1C"/>
    <w:rsid w:val="64334F31"/>
    <w:rsid w:val="644E15F5"/>
    <w:rsid w:val="64C1451D"/>
    <w:rsid w:val="65131049"/>
    <w:rsid w:val="658F3334"/>
    <w:rsid w:val="65A64376"/>
    <w:rsid w:val="65DF2C20"/>
    <w:rsid w:val="662E0238"/>
    <w:rsid w:val="667C6A4B"/>
    <w:rsid w:val="67676D8A"/>
    <w:rsid w:val="68923761"/>
    <w:rsid w:val="690D790E"/>
    <w:rsid w:val="6954574C"/>
    <w:rsid w:val="69A9254E"/>
    <w:rsid w:val="69D35536"/>
    <w:rsid w:val="6A9339A0"/>
    <w:rsid w:val="6B5F2108"/>
    <w:rsid w:val="6C3A406E"/>
    <w:rsid w:val="6C5C1F0A"/>
    <w:rsid w:val="6E5F44EB"/>
    <w:rsid w:val="6EDC0225"/>
    <w:rsid w:val="708E52C1"/>
    <w:rsid w:val="70D62AD1"/>
    <w:rsid w:val="71DB0F73"/>
    <w:rsid w:val="71EE3C92"/>
    <w:rsid w:val="722274CC"/>
    <w:rsid w:val="72D34304"/>
    <w:rsid w:val="731335EB"/>
    <w:rsid w:val="733D668B"/>
    <w:rsid w:val="73F20835"/>
    <w:rsid w:val="747C5F1A"/>
    <w:rsid w:val="75CB40DD"/>
    <w:rsid w:val="768364EA"/>
    <w:rsid w:val="77037934"/>
    <w:rsid w:val="779A534E"/>
    <w:rsid w:val="78D26CBB"/>
    <w:rsid w:val="78E4686E"/>
    <w:rsid w:val="7962430B"/>
    <w:rsid w:val="7A030258"/>
    <w:rsid w:val="7A175D92"/>
    <w:rsid w:val="7A661FA0"/>
    <w:rsid w:val="7A9F2F8C"/>
    <w:rsid w:val="7AB94079"/>
    <w:rsid w:val="7C495353"/>
    <w:rsid w:val="7C96379E"/>
    <w:rsid w:val="7D821FA4"/>
    <w:rsid w:val="7E3B6E80"/>
    <w:rsid w:val="7E4E409F"/>
    <w:rsid w:val="7EAF2DD8"/>
    <w:rsid w:val="7ED76B4D"/>
    <w:rsid w:val="7F8013E6"/>
    <w:rsid w:val="7FF133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outlineLvl w:val="0"/>
    </w:pPr>
    <w:rPr>
      <w:rFonts w:eastAsia="黑体"/>
      <w:kern w:val="44"/>
      <w:sz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customStyle="1" w:styleId="2">
    <w:name w:val="样式 10 磅2"/>
    <w:qFormat/>
    <w:uiPriority w:val="0"/>
    <w:pPr>
      <w:widowControl w:val="0"/>
      <w:jc w:val="both"/>
    </w:pPr>
    <w:rPr>
      <w:rFonts w:ascii="Calibri" w:hAnsi="Calibri" w:eastAsia="宋体" w:cs="Arial"/>
      <w:spacing w:val="-4"/>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正文 New New New New New New New New New New New New New New New New New New New New New New New New New New New New New"/>
    <w:qFormat/>
    <w:uiPriority w:val="0"/>
    <w:pPr>
      <w:widowControl w:val="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1870</Words>
  <Characters>1971</Characters>
  <Lines>22</Lines>
  <Paragraphs>6</Paragraphs>
  <TotalTime>7</TotalTime>
  <ScaleCrop>false</ScaleCrop>
  <LinksUpToDate>false</LinksUpToDate>
  <CharactersWithSpaces>1977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2021-06-29T03:25:00Z</dcterms:created>
  <dc:creator>Administrator</dc:creator>
  <cp:lastModifiedBy>Lenovo</cp:lastModifiedBy>
  <cp:lastPrinted>2022-02-16T08:17:00Z</cp:lastPrinted>
  <dcterms:modified xsi:type="dcterms:W3CDTF">2022-07-29T09:01:52Z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255AC5EFADC94B1FA4EC11D75674E4FB</vt:lpwstr>
  </property>
</Properties>
</file>