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eastAsia="仿宋_GB2312"/>
          <w:sz w:val="32"/>
          <w:szCs w:val="32"/>
        </w:rPr>
      </w:pPr>
      <w:bookmarkStart w:id="0" w:name="_GoBack"/>
      <w:bookmarkEnd w:id="0"/>
      <w:r>
        <w:rPr>
          <w:rFonts w:eastAsia="黑体"/>
          <w:sz w:val="32"/>
          <w:szCs w:val="32"/>
        </w:rPr>
        <w:t>附件1</w:t>
      </w:r>
    </w:p>
    <w:tbl>
      <w:tblPr>
        <w:tblStyle w:val="8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8"/>
        <w:gridCol w:w="995"/>
        <w:gridCol w:w="998"/>
        <w:gridCol w:w="1463"/>
        <w:gridCol w:w="995"/>
        <w:gridCol w:w="995"/>
        <w:gridCol w:w="995"/>
        <w:gridCol w:w="1008"/>
        <w:gridCol w:w="995"/>
        <w:gridCol w:w="996"/>
        <w:gridCol w:w="1278"/>
        <w:gridCol w:w="996"/>
        <w:gridCol w:w="743"/>
      </w:tblGrid>
      <w:tr>
        <w:trPr>
          <w:trHeight w:val="1260" w:hRule="atLeast"/>
          <w:tblHeader/>
        </w:trPr>
        <w:tc>
          <w:tcPr>
            <w:tcW w:w="13455" w:type="dxa"/>
            <w:gridSpan w:val="13"/>
            <w:tcBorders>
              <w:top w:val="nil"/>
              <w:bottom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仿宋"/>
                <w:b/>
                <w:bCs/>
                <w:kern w:val="0"/>
                <w:sz w:val="28"/>
                <w:szCs w:val="28"/>
              </w:rPr>
              <w:t>预留城乡建设用地规模使用地块基本情况表</w:t>
            </w:r>
          </w:p>
          <w:p>
            <w:pPr>
              <w:jc w:val="right"/>
              <w:rPr>
                <w:rFonts w:eastAsia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仿宋"/>
                <w:b/>
                <w:bCs/>
                <w:kern w:val="0"/>
                <w:sz w:val="24"/>
              </w:rPr>
              <w:t>单位：公顷</w:t>
            </w:r>
          </w:p>
        </w:tc>
      </w:tr>
      <w:tr>
        <w:trPr>
          <w:trHeight w:val="600" w:hRule="atLeast"/>
          <w:tblHeader/>
        </w:trPr>
        <w:tc>
          <w:tcPr>
            <w:tcW w:w="99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地块编号</w:t>
            </w:r>
          </w:p>
        </w:tc>
        <w:tc>
          <w:tcPr>
            <w:tcW w:w="99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地块面积</w:t>
            </w:r>
          </w:p>
        </w:tc>
        <w:tc>
          <w:tcPr>
            <w:tcW w:w="246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地块位置</w:t>
            </w:r>
          </w:p>
        </w:tc>
        <w:tc>
          <w:tcPr>
            <w:tcW w:w="3993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土地利用现状用途</w:t>
            </w:r>
          </w:p>
        </w:tc>
        <w:tc>
          <w:tcPr>
            <w:tcW w:w="4265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落实前土地规划用途</w:t>
            </w:r>
          </w:p>
        </w:tc>
        <w:tc>
          <w:tcPr>
            <w:tcW w:w="74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备注</w:t>
            </w:r>
          </w:p>
        </w:tc>
      </w:tr>
      <w:tr>
        <w:trPr>
          <w:trHeight w:val="312" w:hRule="atLeast"/>
          <w:tblHeader/>
        </w:trPr>
        <w:tc>
          <w:tcPr>
            <w:tcW w:w="99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46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993" w:type="dxa"/>
            <w:gridSpan w:val="4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4265" w:type="dxa"/>
            <w:gridSpan w:val="4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4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</w:tr>
      <w:tr>
        <w:trPr>
          <w:trHeight w:val="600" w:hRule="atLeast"/>
          <w:tblHeader/>
        </w:trPr>
        <w:tc>
          <w:tcPr>
            <w:tcW w:w="99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镇（街道、农场、林场、开发区）</w:t>
            </w:r>
          </w:p>
        </w:tc>
        <w:tc>
          <w:tcPr>
            <w:tcW w:w="146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行政村</w:t>
            </w:r>
          </w:p>
        </w:tc>
        <w:tc>
          <w:tcPr>
            <w:tcW w:w="99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农用地</w:t>
            </w:r>
          </w:p>
        </w:tc>
        <w:tc>
          <w:tcPr>
            <w:tcW w:w="995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　</w:t>
            </w:r>
          </w:p>
        </w:tc>
        <w:tc>
          <w:tcPr>
            <w:tcW w:w="99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建设用地</w:t>
            </w:r>
          </w:p>
        </w:tc>
        <w:tc>
          <w:tcPr>
            <w:tcW w:w="100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未利用地</w:t>
            </w:r>
          </w:p>
        </w:tc>
        <w:tc>
          <w:tcPr>
            <w:tcW w:w="99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农用地</w:t>
            </w:r>
          </w:p>
        </w:tc>
        <w:tc>
          <w:tcPr>
            <w:tcW w:w="99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建设用地</w:t>
            </w:r>
          </w:p>
        </w:tc>
        <w:tc>
          <w:tcPr>
            <w:tcW w:w="1278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　</w:t>
            </w:r>
          </w:p>
        </w:tc>
        <w:tc>
          <w:tcPr>
            <w:tcW w:w="99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其他土地</w:t>
            </w:r>
          </w:p>
        </w:tc>
        <w:tc>
          <w:tcPr>
            <w:tcW w:w="74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</w:tr>
      <w:tr>
        <w:trPr>
          <w:trHeight w:val="974" w:hRule="atLeast"/>
          <w:tblHeader/>
        </w:trPr>
        <w:tc>
          <w:tcPr>
            <w:tcW w:w="99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4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其中耕地（含可调整地类）</w:t>
            </w:r>
          </w:p>
        </w:tc>
        <w:tc>
          <w:tcPr>
            <w:tcW w:w="99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00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仿宋"/>
                <w:b/>
                <w:bCs/>
                <w:kern w:val="0"/>
                <w:sz w:val="18"/>
                <w:szCs w:val="18"/>
              </w:rPr>
              <w:t>交通水利用地及其他建设用地</w:t>
            </w:r>
          </w:p>
        </w:tc>
        <w:tc>
          <w:tcPr>
            <w:tcW w:w="99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4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b/>
                <w:bCs/>
                <w:kern w:val="0"/>
                <w:sz w:val="18"/>
                <w:szCs w:val="18"/>
              </w:rPr>
            </w:pPr>
          </w:p>
        </w:tc>
      </w:tr>
      <w:tr>
        <w:trPr>
          <w:trHeight w:val="408" w:hRule="atLeast"/>
          <w:tblHeader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LS01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1.4426</w:t>
            </w:r>
          </w:p>
        </w:tc>
        <w:tc>
          <w:tcPr>
            <w:tcW w:w="9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color w:val="000000"/>
                <w:sz w:val="18"/>
                <w:szCs w:val="18"/>
              </w:rPr>
              <w:t>龙仙镇</w:t>
            </w:r>
          </w:p>
        </w:tc>
        <w:tc>
          <w:tcPr>
            <w:tcW w:w="14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color w:val="000000"/>
                <w:sz w:val="18"/>
                <w:szCs w:val="18"/>
              </w:rPr>
              <w:t>民主村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0.2811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1.1615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1.4426</w:t>
            </w:r>
          </w:p>
        </w:tc>
        <w:tc>
          <w:tcPr>
            <w:tcW w:w="9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9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7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　</w:t>
            </w:r>
          </w:p>
        </w:tc>
      </w:tr>
      <w:tr>
        <w:trPr>
          <w:trHeight w:val="408" w:hRule="atLeast"/>
          <w:tblHeader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LS02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0.4680 </w:t>
            </w:r>
          </w:p>
        </w:tc>
        <w:tc>
          <w:tcPr>
            <w:tcW w:w="9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color w:val="000000"/>
                <w:sz w:val="18"/>
                <w:szCs w:val="18"/>
              </w:rPr>
              <w:t>翁城镇</w:t>
            </w:r>
          </w:p>
        </w:tc>
        <w:tc>
          <w:tcPr>
            <w:tcW w:w="14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color w:val="000000"/>
                <w:sz w:val="18"/>
                <w:szCs w:val="18"/>
              </w:rPr>
              <w:t>墨岭村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0.4680 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0.4680 </w:t>
            </w:r>
          </w:p>
        </w:tc>
        <w:tc>
          <w:tcPr>
            <w:tcW w:w="9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9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7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</w:tr>
      <w:tr>
        <w:trPr>
          <w:trHeight w:val="408" w:hRule="atLeast"/>
          <w:tblHeader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1.9106</w:t>
            </w:r>
          </w:p>
        </w:tc>
        <w:tc>
          <w:tcPr>
            <w:tcW w:w="9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4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—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0.7491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1.1615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1.9106 </w:t>
            </w:r>
          </w:p>
        </w:tc>
        <w:tc>
          <w:tcPr>
            <w:tcW w:w="9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9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0.0000 </w:t>
            </w:r>
          </w:p>
        </w:tc>
        <w:tc>
          <w:tcPr>
            <w:tcW w:w="7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　</w:t>
            </w:r>
          </w:p>
        </w:tc>
      </w:tr>
      <w:tr>
        <w:trPr>
          <w:trHeight w:val="642" w:hRule="atLeast"/>
          <w:tblHeader/>
        </w:trPr>
        <w:tc>
          <w:tcPr>
            <w:tcW w:w="13455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kern w:val="0"/>
                <w:sz w:val="22"/>
                <w:szCs w:val="22"/>
              </w:rPr>
            </w:pPr>
            <w:r>
              <w:rPr>
                <w:rFonts w:eastAsia="仿宋"/>
                <w:kern w:val="0"/>
                <w:sz w:val="22"/>
                <w:szCs w:val="22"/>
              </w:rPr>
              <w:t>注：1.地块指的是同一闭合曲线围合区域。调入以实际调整的地块范围为计算单位，不以土地利用现状图或土地利用总体规划图中图斑作为单位，下同。</w:t>
            </w:r>
          </w:p>
        </w:tc>
      </w:tr>
      <w:tr>
        <w:trPr>
          <w:trHeight w:val="300" w:hRule="atLeast"/>
          <w:tblHeader/>
        </w:trPr>
        <w:tc>
          <w:tcPr>
            <w:tcW w:w="13455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kern w:val="0"/>
                <w:sz w:val="22"/>
                <w:szCs w:val="22"/>
              </w:rPr>
            </w:pPr>
            <w:r>
              <w:rPr>
                <w:rFonts w:eastAsia="仿宋"/>
                <w:kern w:val="0"/>
                <w:sz w:val="22"/>
                <w:szCs w:val="22"/>
              </w:rPr>
              <w:t>2.地块编号是地块的唯一标识码，在方案中必须前后一致，其中，落实地块编号格式为LSXX，下同。</w:t>
            </w:r>
          </w:p>
        </w:tc>
      </w:tr>
      <w:tr>
        <w:trPr>
          <w:trHeight w:val="585" w:hRule="atLeast"/>
          <w:tblHeader/>
        </w:trPr>
        <w:tc>
          <w:tcPr>
            <w:tcW w:w="13455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kern w:val="0"/>
                <w:sz w:val="22"/>
                <w:szCs w:val="22"/>
              </w:rPr>
            </w:pPr>
            <w:r>
              <w:rPr>
                <w:rFonts w:eastAsia="仿宋"/>
                <w:kern w:val="0"/>
                <w:sz w:val="22"/>
                <w:szCs w:val="22"/>
              </w:rPr>
              <w:t>3.地块位置具体到镇、村。其中，镇以镇级土地利用总体规划编制单位来划分，不以行政区划划分。未编制镇级土地利用总体规划的则以行政区划划分。</w:t>
            </w:r>
          </w:p>
        </w:tc>
      </w:tr>
      <w:tr>
        <w:trPr>
          <w:trHeight w:val="300" w:hRule="atLeast"/>
          <w:tblHeader/>
        </w:trPr>
        <w:tc>
          <w:tcPr>
            <w:tcW w:w="13455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kern w:val="0"/>
                <w:sz w:val="22"/>
                <w:szCs w:val="22"/>
              </w:rPr>
            </w:pPr>
            <w:r>
              <w:rPr>
                <w:rFonts w:eastAsia="仿宋"/>
                <w:kern w:val="0"/>
                <w:sz w:val="22"/>
                <w:szCs w:val="22"/>
              </w:rPr>
              <w:t>4.土地利用现状用途指的是依据年度土地利用现状调查，地块在最新的土地利用现状图上的用途。</w:t>
            </w:r>
          </w:p>
        </w:tc>
      </w:tr>
      <w:tr>
        <w:trPr>
          <w:trHeight w:val="300" w:hRule="atLeast"/>
          <w:tblHeader/>
        </w:trPr>
        <w:tc>
          <w:tcPr>
            <w:tcW w:w="13455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kern w:val="0"/>
                <w:sz w:val="22"/>
                <w:szCs w:val="22"/>
              </w:rPr>
            </w:pPr>
            <w:r>
              <w:rPr>
                <w:rFonts w:eastAsia="仿宋"/>
                <w:kern w:val="0"/>
                <w:sz w:val="22"/>
                <w:szCs w:val="22"/>
              </w:rPr>
              <w:t>5.土地规划用途指的依据土地规划用途分类，落实地块在土地利用总体规划图上的用途。</w:t>
            </w:r>
          </w:p>
        </w:tc>
      </w:tr>
      <w:tr>
        <w:trPr>
          <w:trHeight w:val="300" w:hRule="atLeast"/>
          <w:tblHeader/>
        </w:trPr>
        <w:tc>
          <w:tcPr>
            <w:tcW w:w="13455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kern w:val="0"/>
                <w:sz w:val="22"/>
                <w:szCs w:val="22"/>
              </w:rPr>
            </w:pPr>
            <w:r>
              <w:rPr>
                <w:rFonts w:eastAsia="仿宋"/>
                <w:kern w:val="0"/>
                <w:sz w:val="22"/>
                <w:szCs w:val="22"/>
              </w:rPr>
              <w:t>6.本表务必确保数据闭合，无相应内容的填写“0”，除备注栏外不得留空。面积保留四位小数，下同。</w:t>
            </w:r>
          </w:p>
        </w:tc>
      </w:tr>
    </w:tbl>
    <w:p>
      <w:pPr>
        <w:spacing w:line="600" w:lineRule="exact"/>
        <w:rPr>
          <w:rFonts w:eastAsia="黑体"/>
          <w:sz w:val="32"/>
          <w:szCs w:val="32"/>
        </w:rPr>
        <w:sectPr>
          <w:footerReference r:id="rId3" w:type="default"/>
          <w:pgSz w:w="16840" w:h="11907" w:orient="landscape"/>
          <w:pgMar w:top="1230" w:right="1440" w:bottom="1230" w:left="1440" w:header="851" w:footer="992" w:gutter="0"/>
          <w:cols w:space="720" w:num="1"/>
          <w:docGrid w:type="linesAndChars" w:linePitch="312" w:charSpace="0"/>
        </w:sectPr>
      </w:pPr>
    </w:p>
    <w:p>
      <w:pPr>
        <w:spacing w:line="600" w:lineRule="exact"/>
        <w:rPr>
          <w:rFonts w:eastAsia="仿宋_GB2312"/>
          <w:sz w:val="32"/>
          <w:szCs w:val="32"/>
        </w:rPr>
      </w:pPr>
      <w:r>
        <w:rPr>
          <w:rFonts w:hint="eastAsia" w:eastAsia="黑体"/>
          <w:sz w:val="32"/>
          <w:szCs w:val="32"/>
        </w:rPr>
        <w:t>附件</w:t>
      </w:r>
      <w:r>
        <w:rPr>
          <w:rFonts w:eastAsia="黑体"/>
          <w:sz w:val="32"/>
          <w:szCs w:val="32"/>
        </w:rPr>
        <w:t>2</w:t>
      </w:r>
    </w:p>
    <w:tbl>
      <w:tblPr>
        <w:tblStyle w:val="8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1"/>
        <w:gridCol w:w="2691"/>
        <w:gridCol w:w="2691"/>
        <w:gridCol w:w="2691"/>
        <w:gridCol w:w="2691"/>
      </w:tblGrid>
      <w:tr>
        <w:trPr>
          <w:trHeight w:val="600" w:hRule="atLeast"/>
        </w:trPr>
        <w:tc>
          <w:tcPr>
            <w:tcW w:w="1345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eastAsia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仿宋"/>
                <w:b/>
                <w:bCs/>
                <w:kern w:val="0"/>
                <w:sz w:val="28"/>
                <w:szCs w:val="28"/>
              </w:rPr>
              <w:t>土地利用主要调控指标对比表</w:t>
            </w:r>
          </w:p>
        </w:tc>
      </w:tr>
      <w:tr>
        <w:trPr>
          <w:trHeight w:val="600" w:hRule="atLeast"/>
        </w:trPr>
        <w:tc>
          <w:tcPr>
            <w:tcW w:w="1345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rPr>
                <w:rFonts w:eastAsia="仿宋"/>
                <w:b/>
                <w:bCs/>
                <w:kern w:val="0"/>
                <w:sz w:val="24"/>
              </w:rPr>
            </w:pPr>
            <w:r>
              <w:rPr>
                <w:rFonts w:eastAsia="仿宋"/>
                <w:b/>
                <w:bCs/>
                <w:kern w:val="0"/>
                <w:sz w:val="24"/>
              </w:rPr>
              <w:t>单位：公顷</w:t>
            </w:r>
          </w:p>
        </w:tc>
      </w:tr>
      <w:tr>
        <w:trPr>
          <w:trHeight w:val="600" w:hRule="atLeast"/>
        </w:trPr>
        <w:tc>
          <w:tcPr>
            <w:tcW w:w="53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kern w:val="0"/>
                <w:sz w:val="24"/>
              </w:rPr>
            </w:pPr>
            <w:r>
              <w:rPr>
                <w:rFonts w:eastAsia="仿宋"/>
                <w:kern w:val="0"/>
                <w:sz w:val="24"/>
              </w:rPr>
              <w:t>行政区</w:t>
            </w:r>
          </w:p>
        </w:tc>
        <w:tc>
          <w:tcPr>
            <w:tcW w:w="26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kern w:val="0"/>
                <w:sz w:val="24"/>
              </w:rPr>
            </w:pPr>
            <w:r>
              <w:rPr>
                <w:rFonts w:eastAsia="仿宋"/>
                <w:kern w:val="0"/>
                <w:sz w:val="24"/>
              </w:rPr>
              <w:t>建设用地总规模</w:t>
            </w:r>
          </w:p>
        </w:tc>
        <w:tc>
          <w:tcPr>
            <w:tcW w:w="26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kern w:val="0"/>
                <w:sz w:val="24"/>
              </w:rPr>
            </w:pPr>
            <w:r>
              <w:rPr>
                <w:rFonts w:eastAsia="仿宋"/>
                <w:kern w:val="0"/>
                <w:sz w:val="24"/>
              </w:rPr>
              <w:t>城乡建设用地规模</w:t>
            </w:r>
          </w:p>
        </w:tc>
        <w:tc>
          <w:tcPr>
            <w:tcW w:w="26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kern w:val="0"/>
                <w:sz w:val="24"/>
              </w:rPr>
            </w:pPr>
            <w:r>
              <w:rPr>
                <w:rFonts w:eastAsia="仿宋"/>
                <w:kern w:val="0"/>
                <w:sz w:val="24"/>
              </w:rPr>
              <w:t>城镇工矿用地规模</w:t>
            </w:r>
          </w:p>
        </w:tc>
      </w:tr>
      <w:tr>
        <w:trPr>
          <w:trHeight w:val="600" w:hRule="atLeast"/>
        </w:trPr>
        <w:tc>
          <w:tcPr>
            <w:tcW w:w="26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</w:rPr>
              <w:t>龙仙镇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</w:rPr>
              <w:t>使用前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2371.3742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1921.3742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921.3742</w:t>
            </w:r>
          </w:p>
        </w:tc>
      </w:tr>
      <w:tr>
        <w:trPr>
          <w:trHeight w:val="600" w:hRule="atLeast"/>
        </w:trPr>
        <w:tc>
          <w:tcPr>
            <w:tcW w:w="26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kern w:val="0"/>
                <w:sz w:val="24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</w:rPr>
              <w:t>使用后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</w:rPr>
              <w:t xml:space="preserve">2372.8168 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</w:rPr>
              <w:t xml:space="preserve">1922.8168 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</w:rPr>
              <w:t xml:space="preserve">922.8168 </w:t>
            </w:r>
          </w:p>
        </w:tc>
      </w:tr>
      <w:tr>
        <w:trPr>
          <w:trHeight w:val="502" w:hRule="atLeast"/>
        </w:trPr>
        <w:tc>
          <w:tcPr>
            <w:tcW w:w="26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</w:rPr>
              <w:t>翁城镇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</w:rPr>
              <w:t>使用前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1270.3194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920.3194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450.3194</w:t>
            </w:r>
          </w:p>
        </w:tc>
      </w:tr>
      <w:tr>
        <w:trPr>
          <w:trHeight w:val="600" w:hRule="atLeast"/>
        </w:trPr>
        <w:tc>
          <w:tcPr>
            <w:tcW w:w="26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kern w:val="0"/>
                <w:sz w:val="24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仿宋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</w:rPr>
              <w:t>使用后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</w:rPr>
              <w:t xml:space="preserve">1270.7874 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</w:rPr>
              <w:t xml:space="preserve">920.7874 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</w:rPr>
              <w:t xml:space="preserve">450.7874 </w:t>
            </w:r>
          </w:p>
        </w:tc>
      </w:tr>
      <w:tr>
        <w:trPr>
          <w:trHeight w:val="600" w:hRule="atLeast"/>
        </w:trPr>
        <w:tc>
          <w:tcPr>
            <w:tcW w:w="2691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</w:rPr>
              <w:t>翁源县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</w:rPr>
              <w:t>使用前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8839.7520 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6678.7520 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2599.7520 </w:t>
            </w:r>
          </w:p>
        </w:tc>
      </w:tr>
      <w:tr>
        <w:trPr>
          <w:trHeight w:val="600" w:hRule="atLeast"/>
        </w:trPr>
        <w:tc>
          <w:tcPr>
            <w:tcW w:w="269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kern w:val="0"/>
                <w:sz w:val="24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color w:val="000000"/>
              </w:rPr>
              <w:t>使用后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color w:val="000000"/>
              </w:rPr>
              <w:t xml:space="preserve">8841.6626 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color w:val="000000"/>
              </w:rPr>
              <w:t xml:space="preserve">6680.6626 </w:t>
            </w:r>
          </w:p>
        </w:tc>
        <w:tc>
          <w:tcPr>
            <w:tcW w:w="2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color w:val="000000"/>
              </w:rPr>
              <w:t xml:space="preserve">2601.6626 </w:t>
            </w:r>
          </w:p>
        </w:tc>
      </w:tr>
      <w:tr>
        <w:trPr>
          <w:trHeight w:val="945" w:hRule="atLeast"/>
        </w:trPr>
        <w:tc>
          <w:tcPr>
            <w:tcW w:w="1345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eastAsia="仿宋"/>
                <w:kern w:val="0"/>
                <w:sz w:val="22"/>
                <w:szCs w:val="22"/>
              </w:rPr>
            </w:pPr>
            <w:r>
              <w:rPr>
                <w:rFonts w:eastAsia="仿宋"/>
                <w:kern w:val="0"/>
                <w:sz w:val="22"/>
                <w:szCs w:val="22"/>
              </w:rPr>
              <w:t>注：1.城乡建设用地规模应符合“使用后合计数－使用前合计数≤预留城乡建设用地规模”条件</w:t>
            </w:r>
          </w:p>
        </w:tc>
      </w:tr>
    </w:tbl>
    <w:p>
      <w:pPr>
        <w:jc w:val="left"/>
        <w:rPr>
          <w:rFonts w:eastAsia="仿宋"/>
          <w:b/>
          <w:sz w:val="24"/>
        </w:rPr>
        <w:sectPr>
          <w:pgSz w:w="16838" w:h="11905" w:orient="landscape"/>
          <w:pgMar w:top="1803" w:right="1440" w:bottom="1803" w:left="1440" w:header="851" w:footer="992" w:gutter="0"/>
          <w:cols w:space="720" w:num="1"/>
          <w:docGrid w:linePitch="324" w:charSpace="572"/>
        </w:sectPr>
      </w:pPr>
    </w:p>
    <w:p>
      <w:pPr>
        <w:widowControl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4" w:type="default"/>
      <w:pgSz w:w="11905" w:h="16838"/>
      <w:pgMar w:top="1440" w:right="1803" w:bottom="1440" w:left="1803" w:header="851" w:footer="992" w:gutter="0"/>
      <w:cols w:space="0" w:num="1"/>
      <w:docGrid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BYAAABkcnMvUEsBAhQAFAAAAAgAh07iQLl1uVLQAAAA&#10;BQEAAA8AAAAAAAAAAQAgAAAAOAAAAGRycy9kb3ducmV2LnhtbFBLAQIUABQAAAAIAIdO4kAwdaEM&#10;nQEAADQDAAAOAAAAAAAAAAEAIAAAADU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1MDJiNWM1MTJiOTEyNDRmNDEyOTk1NTI0OTE2OTgifQ=="/>
  </w:docVars>
  <w:rsids>
    <w:rsidRoot w:val="00484CAD"/>
    <w:rsid w:val="000205F5"/>
    <w:rsid w:val="00062B0F"/>
    <w:rsid w:val="00082389"/>
    <w:rsid w:val="000C12CB"/>
    <w:rsid w:val="000C1BD6"/>
    <w:rsid w:val="000E00A7"/>
    <w:rsid w:val="000F0AC6"/>
    <w:rsid w:val="00123057"/>
    <w:rsid w:val="00142773"/>
    <w:rsid w:val="00144221"/>
    <w:rsid w:val="001654B2"/>
    <w:rsid w:val="00187C56"/>
    <w:rsid w:val="001A1C31"/>
    <w:rsid w:val="001A2205"/>
    <w:rsid w:val="00201DFF"/>
    <w:rsid w:val="00206C91"/>
    <w:rsid w:val="00246865"/>
    <w:rsid w:val="002753C1"/>
    <w:rsid w:val="002D044B"/>
    <w:rsid w:val="002D7BFB"/>
    <w:rsid w:val="002E3652"/>
    <w:rsid w:val="002F3C20"/>
    <w:rsid w:val="00301B07"/>
    <w:rsid w:val="00333775"/>
    <w:rsid w:val="00335A92"/>
    <w:rsid w:val="00337796"/>
    <w:rsid w:val="003C7889"/>
    <w:rsid w:val="003F7027"/>
    <w:rsid w:val="00433B4B"/>
    <w:rsid w:val="00484CAD"/>
    <w:rsid w:val="004B4FA8"/>
    <w:rsid w:val="004C191A"/>
    <w:rsid w:val="004D45BC"/>
    <w:rsid w:val="004E3F3C"/>
    <w:rsid w:val="00512D3A"/>
    <w:rsid w:val="005307A4"/>
    <w:rsid w:val="00552508"/>
    <w:rsid w:val="00566137"/>
    <w:rsid w:val="00567060"/>
    <w:rsid w:val="005E511A"/>
    <w:rsid w:val="005F0F85"/>
    <w:rsid w:val="00616C10"/>
    <w:rsid w:val="0062440D"/>
    <w:rsid w:val="00654B83"/>
    <w:rsid w:val="006E57E6"/>
    <w:rsid w:val="007127AA"/>
    <w:rsid w:val="007149B3"/>
    <w:rsid w:val="00751CD5"/>
    <w:rsid w:val="0075742F"/>
    <w:rsid w:val="007B0FD4"/>
    <w:rsid w:val="007B1AB2"/>
    <w:rsid w:val="007B3604"/>
    <w:rsid w:val="007C013D"/>
    <w:rsid w:val="007D110A"/>
    <w:rsid w:val="00836B49"/>
    <w:rsid w:val="00840F53"/>
    <w:rsid w:val="0086443A"/>
    <w:rsid w:val="00871BAF"/>
    <w:rsid w:val="008D6E0F"/>
    <w:rsid w:val="00924653"/>
    <w:rsid w:val="009369FA"/>
    <w:rsid w:val="009638AF"/>
    <w:rsid w:val="00976038"/>
    <w:rsid w:val="00987DC8"/>
    <w:rsid w:val="009B116D"/>
    <w:rsid w:val="009C1665"/>
    <w:rsid w:val="009E2B62"/>
    <w:rsid w:val="00A254C5"/>
    <w:rsid w:val="00A603F1"/>
    <w:rsid w:val="00A80597"/>
    <w:rsid w:val="00A8384B"/>
    <w:rsid w:val="00A84ADA"/>
    <w:rsid w:val="00B33019"/>
    <w:rsid w:val="00B46BBD"/>
    <w:rsid w:val="00B51200"/>
    <w:rsid w:val="00B5223D"/>
    <w:rsid w:val="00B72C8A"/>
    <w:rsid w:val="00BF01EA"/>
    <w:rsid w:val="00C70871"/>
    <w:rsid w:val="00C724AA"/>
    <w:rsid w:val="00C819FA"/>
    <w:rsid w:val="00CA031D"/>
    <w:rsid w:val="00CA20BA"/>
    <w:rsid w:val="00CD1B84"/>
    <w:rsid w:val="00CD1D23"/>
    <w:rsid w:val="00D272FD"/>
    <w:rsid w:val="00D51DB2"/>
    <w:rsid w:val="00D60532"/>
    <w:rsid w:val="00D807A1"/>
    <w:rsid w:val="00D97328"/>
    <w:rsid w:val="00DA5393"/>
    <w:rsid w:val="00DB6026"/>
    <w:rsid w:val="00DB660C"/>
    <w:rsid w:val="00DC67DD"/>
    <w:rsid w:val="00DE46C9"/>
    <w:rsid w:val="00E103D6"/>
    <w:rsid w:val="00E2074A"/>
    <w:rsid w:val="00E254E6"/>
    <w:rsid w:val="00EA740B"/>
    <w:rsid w:val="00F230E5"/>
    <w:rsid w:val="00F23F67"/>
    <w:rsid w:val="00F300DA"/>
    <w:rsid w:val="00F70A65"/>
    <w:rsid w:val="00F8113E"/>
    <w:rsid w:val="00FF5635"/>
    <w:rsid w:val="04DD6E42"/>
    <w:rsid w:val="072F431A"/>
    <w:rsid w:val="08FC2917"/>
    <w:rsid w:val="0EFE0AC2"/>
    <w:rsid w:val="121D6629"/>
    <w:rsid w:val="126C4702"/>
    <w:rsid w:val="1307082F"/>
    <w:rsid w:val="13E46AA8"/>
    <w:rsid w:val="153869F1"/>
    <w:rsid w:val="191A58B4"/>
    <w:rsid w:val="199A588F"/>
    <w:rsid w:val="199F0C9D"/>
    <w:rsid w:val="19EF29A3"/>
    <w:rsid w:val="1E466848"/>
    <w:rsid w:val="1FEF06FF"/>
    <w:rsid w:val="20BB6DB6"/>
    <w:rsid w:val="26595E9E"/>
    <w:rsid w:val="26A87F5B"/>
    <w:rsid w:val="26E04AC6"/>
    <w:rsid w:val="305520BD"/>
    <w:rsid w:val="311114E5"/>
    <w:rsid w:val="31471474"/>
    <w:rsid w:val="35E2405F"/>
    <w:rsid w:val="3E1D7791"/>
    <w:rsid w:val="3E64044E"/>
    <w:rsid w:val="40A61594"/>
    <w:rsid w:val="4A9E49D4"/>
    <w:rsid w:val="4C001A3E"/>
    <w:rsid w:val="4C6D4BE7"/>
    <w:rsid w:val="50E411FC"/>
    <w:rsid w:val="531B7D37"/>
    <w:rsid w:val="539D3885"/>
    <w:rsid w:val="56026696"/>
    <w:rsid w:val="561752FB"/>
    <w:rsid w:val="57E95D60"/>
    <w:rsid w:val="63493676"/>
    <w:rsid w:val="65980C1A"/>
    <w:rsid w:val="66BD37B4"/>
    <w:rsid w:val="6D286A76"/>
    <w:rsid w:val="6D84499C"/>
    <w:rsid w:val="73C000EF"/>
    <w:rsid w:val="7E942F57"/>
    <w:rsid w:val="FDFD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2"/>
    <w:semiHidden/>
    <w:unhideWhenUsed/>
    <w:qFormat/>
    <w:uiPriority w:val="99"/>
    <w:rPr>
      <w:rFonts w:eastAsia="仿宋_GB2312"/>
      <w:b/>
      <w:bCs/>
      <w:sz w:val="28"/>
    </w:rPr>
  </w:style>
  <w:style w:type="paragraph" w:customStyle="1" w:styleId="10">
    <w:name w:val="正文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1">
    <w:name w:val="批注文字 Char"/>
    <w:basedOn w:val="9"/>
    <w:link w:val="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2">
    <w:name w:val="批注主题 Char"/>
    <w:basedOn w:val="11"/>
    <w:link w:val="7"/>
    <w:semiHidden/>
    <w:qFormat/>
    <w:uiPriority w:val="99"/>
    <w:rPr>
      <w:rFonts w:ascii="Times New Roman" w:hAnsi="Times New Roman" w:eastAsia="仿宋_GB2312" w:cs="Times New Roman"/>
      <w:b/>
      <w:bCs/>
      <w:sz w:val="28"/>
      <w:szCs w:val="24"/>
    </w:rPr>
  </w:style>
  <w:style w:type="character" w:customStyle="1" w:styleId="13">
    <w:name w:val="页眉 Char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font21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6">
    <w:name w:val="批注框文本 Char"/>
    <w:basedOn w:val="9"/>
    <w:link w:val="4"/>
    <w:semiHidden/>
    <w:qFormat/>
    <w:uiPriority w:val="99"/>
    <w:rPr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8">
    <w:name w:val="p0"/>
    <w:qFormat/>
    <w:uiPriority w:val="0"/>
    <w:pPr>
      <w:spacing w:before="100" w:beforeAutospacing="1" w:after="100" w:afterAutospacing="1"/>
    </w:pPr>
    <w:rPr>
      <w:rFonts w:ascii="宋体" w:hAnsi="宋体" w:eastAsia="宋体" w:cs="宋体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1724</Words>
  <Characters>2123</Characters>
  <Lines>16</Lines>
  <Paragraphs>4</Paragraphs>
  <TotalTime>60</TotalTime>
  <ScaleCrop>false</ScaleCrop>
  <LinksUpToDate>false</LinksUpToDate>
  <CharactersWithSpaces>2195</CharactersWithSpaces>
  <Application>WPS Office_11.8.2.10605_F1E327BC-269C-435d-A152-05C5408002CA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2020-09-21T08:49:00Z</dcterms:created>
  <dc:creator>Word.Document</dc:creator>
  <cp:lastModifiedBy>f</cp:lastModifiedBy>
  <cp:lastPrinted>2022-11-08T10:24:00Z</cp:lastPrinted>
  <dcterms:modified xsi:type="dcterms:W3CDTF">2022-11-08T15:39:57Z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2052-11.8.2.10605</vt:lpwstr>
  </property>
  <property fmtid="{D5CDD505-2E9C-101B-9397-08002B2CF9AE}" pid="3" name="ICV">
    <vt:lpwstr>3E3745C21B624059AB6595EA12B4F250</vt:lpwstr>
  </property>
</Properties>
</file>