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ind w:firstLine="0" w:firstLineChars="0"/>
        <w:jc w:val="center"/>
        <w:rPr>
          <w:rFonts w:ascii="黑体" w:hAnsi="黑体" w:eastAsia="黑体" w:cs="方正小标宋_GBK"/>
          <w:bCs/>
          <w:sz w:val="44"/>
          <w:szCs w:val="44"/>
        </w:rPr>
      </w:pPr>
      <w:r>
        <w:rPr>
          <w:rFonts w:hint="eastAsia" w:ascii="黑体" w:hAnsi="黑体" w:eastAsia="黑体" w:cs="方正小标宋_GBK"/>
          <w:bCs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韶关市翁源县龙仙镇粤北商贸物流园控制性详细规划》（草案）内容摘要</w:t>
      </w:r>
    </w:p>
    <w:p>
      <w:pPr>
        <w:adjustRightInd w:val="0"/>
        <w:snapToGrid w:val="0"/>
        <w:spacing w:line="336" w:lineRule="auto"/>
        <w:ind w:firstLine="640"/>
        <w:outlineLvl w:val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一、规划范围</w:t>
      </w:r>
    </w:p>
    <w:p>
      <w:pPr>
        <w:adjustRightInd w:val="0"/>
        <w:snapToGrid w:val="0"/>
        <w:spacing w:line="336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规划区位于项目位于韶关市翁源县龙仙镇东部，北临朝阳路，东至汕昆高速匝道，西面现状农田和龙仙公园，总用地面积约45.85公顷（687.75亩）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336" w:lineRule="auto"/>
        <w:ind w:firstLine="640"/>
        <w:outlineLvl w:val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二、规划发展定位</w:t>
      </w:r>
    </w:p>
    <w:p>
      <w:pPr>
        <w:adjustRightInd w:val="0"/>
        <w:snapToGrid w:val="0"/>
        <w:spacing w:line="336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规划拟构建集交易、推广、展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示、配送、仓储、办公、信息交流、服务配套于一体，一站式采购为特色，区域重要冷链商贸物流园区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336" w:lineRule="auto"/>
        <w:ind w:firstLine="640"/>
        <w:outlineLvl w:val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三、规划功能分区</w:t>
      </w:r>
    </w:p>
    <w:p>
      <w:pPr>
        <w:adjustRightInd w:val="0"/>
        <w:snapToGrid w:val="0"/>
        <w:spacing w:line="336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规划形成商-物-居三组团的功能分区。</w:t>
      </w:r>
    </w:p>
    <w:p>
      <w:pPr>
        <w:adjustRightInd w:val="0"/>
        <w:snapToGrid w:val="0"/>
        <w:spacing w:line="336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商业商贸组团：主要发展物流商贸、城市服务商业配套。</w:t>
      </w:r>
    </w:p>
    <w:p>
      <w:pPr>
        <w:adjustRightInd w:val="0"/>
        <w:snapToGrid w:val="0"/>
        <w:spacing w:line="336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物流发展组团：重点发展物流产业，作为城东物流商贸发展单元的启动区。</w:t>
      </w:r>
    </w:p>
    <w:p>
      <w:pPr>
        <w:adjustRightInd w:val="0"/>
        <w:snapToGrid w:val="0"/>
        <w:spacing w:line="336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居住配套组团：作为老城综合发展的补充以及村民安置区，打造优质住区及城市门户形象。</w:t>
      </w:r>
    </w:p>
    <w:p>
      <w:pPr>
        <w:adjustRightInd w:val="0"/>
        <w:snapToGrid w:val="0"/>
        <w:spacing w:line="336" w:lineRule="auto"/>
        <w:ind w:firstLine="480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drawing>
          <wp:inline distT="0" distB="0" distL="0" distR="0">
            <wp:extent cx="4835525" cy="6839585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7128" cy="684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36" w:lineRule="auto"/>
        <w:ind w:firstLine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图1规划功能分区图</w:t>
      </w:r>
    </w:p>
    <w:p>
      <w:pPr>
        <w:adjustRightInd w:val="0"/>
        <w:snapToGrid w:val="0"/>
        <w:spacing w:line="336" w:lineRule="auto"/>
        <w:ind w:firstLine="640"/>
        <w:outlineLvl w:val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四、土地利用规划</w:t>
      </w:r>
    </w:p>
    <w:p>
      <w:pPr>
        <w:adjustRightInd w:val="0"/>
        <w:snapToGrid w:val="0"/>
        <w:spacing w:line="336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规划区总用地面积</w:t>
      </w:r>
      <w:r>
        <w:rPr>
          <w:rFonts w:ascii="仿宋_GB2312" w:hAnsi="仿宋_GB2312" w:eastAsia="仿宋_GB2312" w:cs="仿宋_GB2312"/>
          <w:sz w:val="32"/>
          <w:szCs w:val="32"/>
        </w:rPr>
        <w:t>45.85公顷，建设用地45.25公顷，占规划区总用地面积的98.70%。城市建设用地包括居住用地、商业服务业设施用地、</w:t>
      </w:r>
      <w:r>
        <w:rPr>
          <w:rFonts w:hint="eastAsia" w:ascii="仿宋_GB2312" w:hAnsi="仿宋_GB2312" w:eastAsia="仿宋_GB2312" w:cs="仿宋_GB2312"/>
          <w:sz w:val="32"/>
          <w:szCs w:val="32"/>
        </w:rPr>
        <w:t>物流仓储用地、道路与交通设施用地、公用设施用地以及绿地与广场用地</w:t>
      </w:r>
      <w:r>
        <w:rPr>
          <w:rFonts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非建设用地</w:t>
      </w:r>
      <w:r>
        <w:rPr>
          <w:rFonts w:ascii="仿宋_GB2312" w:hAnsi="仿宋_GB2312" w:eastAsia="仿宋_GB2312" w:cs="仿宋_GB2312"/>
          <w:sz w:val="32"/>
          <w:szCs w:val="32"/>
        </w:rPr>
        <w:t>0.59公顷，占规划区总用地面积的1.30%。</w:t>
      </w:r>
    </w:p>
    <w:p>
      <w:pPr>
        <w:adjustRightInd w:val="0"/>
        <w:snapToGrid w:val="0"/>
        <w:spacing w:line="336" w:lineRule="auto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drawing>
          <wp:inline distT="0" distB="0" distL="0" distR="0">
            <wp:extent cx="4797425" cy="6785610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731" cy="679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36" w:lineRule="auto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图2：土地利用规划图</w:t>
      </w:r>
    </w:p>
    <w:p>
      <w:pPr>
        <w:adjustRightInd w:val="0"/>
        <w:snapToGrid w:val="0"/>
        <w:spacing w:line="336" w:lineRule="auto"/>
        <w:ind w:firstLine="64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五、道路交通规划</w:t>
      </w:r>
    </w:p>
    <w:p>
      <w:pPr>
        <w:adjustRightInd w:val="0"/>
        <w:snapToGrid w:val="0"/>
        <w:spacing w:line="336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规划范围内形成“两横两纵”的路网结构。两横：包括朝阳路-S341省道和南外环路，形成现代服务物流园区东西向的主要廊道。两纵：包括纵一路和东外环路，形成现代服务物流园区南北向衔接骨架路网的主要廊道。</w:t>
      </w:r>
    </w:p>
    <w:p>
      <w:pPr>
        <w:adjustRightInd w:val="0"/>
        <w:snapToGrid w:val="0"/>
        <w:spacing w:line="336" w:lineRule="auto"/>
        <w:ind w:firstLine="480"/>
        <w:rPr>
          <w:rFonts w:ascii="仿宋_GB2312" w:hAnsi="仿宋_GB2312" w:eastAsia="仿宋_GB2312" w:cs="仿宋_GB2312"/>
          <w:sz w:val="32"/>
          <w:szCs w:val="32"/>
        </w:rPr>
      </w:pPr>
      <w:r>
        <w:drawing>
          <wp:inline distT="0" distB="0" distL="0" distR="0">
            <wp:extent cx="5154295" cy="7291070"/>
            <wp:effectExtent l="0" t="0" r="825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6316" cy="729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36" w:lineRule="auto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图3：综合交通规划图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361" w:right="1106" w:bottom="1077" w:left="1440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MDJiNWM1MTJiOTEyNDRmNDEyOTk1NTI0OTE2OTgifQ=="/>
  </w:docVars>
  <w:rsids>
    <w:rsidRoot w:val="1C161EA7"/>
    <w:rsid w:val="000922C1"/>
    <w:rsid w:val="000C781F"/>
    <w:rsid w:val="0015648C"/>
    <w:rsid w:val="001D35D1"/>
    <w:rsid w:val="001F7E56"/>
    <w:rsid w:val="00234520"/>
    <w:rsid w:val="00243C72"/>
    <w:rsid w:val="002561E7"/>
    <w:rsid w:val="00493D65"/>
    <w:rsid w:val="00570AA9"/>
    <w:rsid w:val="00597915"/>
    <w:rsid w:val="00661B9F"/>
    <w:rsid w:val="006945E9"/>
    <w:rsid w:val="0076452F"/>
    <w:rsid w:val="0087508E"/>
    <w:rsid w:val="00882E63"/>
    <w:rsid w:val="008D446D"/>
    <w:rsid w:val="00B569F8"/>
    <w:rsid w:val="00C5358C"/>
    <w:rsid w:val="00CD5452"/>
    <w:rsid w:val="00D4499A"/>
    <w:rsid w:val="00D52C46"/>
    <w:rsid w:val="00EB09C4"/>
    <w:rsid w:val="00ED1BB9"/>
    <w:rsid w:val="00F9250B"/>
    <w:rsid w:val="1C161EA7"/>
    <w:rsid w:val="1E2D64F5"/>
    <w:rsid w:val="32307326"/>
    <w:rsid w:val="33780F2A"/>
    <w:rsid w:val="45E0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</w:pPr>
    <w:rPr>
      <w:rFonts w:eastAsia="华文细黑" w:asciiTheme="minorHAnsi" w:hAnsiTheme="minorHAnsi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 New New New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3.jpeg"/><Relationship Id="rId13" Type="http://schemas.openxmlformats.org/officeDocument/2006/relationships/image" Target="media/image2.jpe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552</Words>
  <Characters>585</Characters>
  <Lines>7</Lines>
  <Paragraphs>2</Paragraphs>
  <TotalTime>36</TotalTime>
  <ScaleCrop>false</ScaleCrop>
  <LinksUpToDate>false</LinksUpToDate>
  <CharactersWithSpaces>585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2022-11-07T07:35:00Z</dcterms:created>
  <dc:creator>李健</dc:creator>
  <cp:lastModifiedBy>M.T</cp:lastModifiedBy>
  <dcterms:modified xsi:type="dcterms:W3CDTF">2023-02-01T03:55:31Z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3FB7763115764C63AE8D976510C58920</vt:lpwstr>
  </property>
</Properties>
</file>