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黑体"/>
          <w:bCs/>
          <w:sz w:val="28"/>
          <w:szCs w:val="28"/>
        </w:rPr>
      </w:pPr>
      <w:r>
        <w:rPr>
          <w:rFonts w:hint="eastAsia" w:ascii="仿宋_GB2312" w:hAnsi="黑体"/>
          <w:bCs/>
          <w:sz w:val="28"/>
          <w:szCs w:val="28"/>
        </w:rPr>
        <w:t>附件</w:t>
      </w:r>
      <w:r>
        <w:rPr>
          <w:rFonts w:hint="eastAsia" w:ascii="仿宋_GB2312" w:hAnsi="黑体"/>
          <w:bCs/>
          <w:sz w:val="28"/>
          <w:szCs w:val="28"/>
          <w:lang w:val="en-US" w:eastAsia="zh-CN"/>
        </w:rPr>
        <w:t>4</w:t>
      </w:r>
    </w:p>
    <w:p>
      <w:pPr>
        <w:jc w:val="center"/>
        <w:rPr>
          <w:rFonts w:ascii="仿宋_GB2312" w:hAnsi="华文中宋"/>
          <w:bCs/>
          <w:sz w:val="36"/>
          <w:szCs w:val="44"/>
        </w:rPr>
      </w:pPr>
    </w:p>
    <w:p>
      <w:pPr>
        <w:jc w:val="center"/>
        <w:rPr>
          <w:rFonts w:ascii="宋体" w:hAnsi="宋体" w:eastAsia="宋体" w:cs="宋体"/>
          <w:b/>
          <w:sz w:val="36"/>
          <w:szCs w:val="44"/>
        </w:rPr>
      </w:pPr>
      <w:r>
        <w:rPr>
          <w:rFonts w:hint="eastAsia" w:ascii="Arial" w:hAnsi="Arial" w:eastAsia="宋体" w:cs="Arial"/>
          <w:b/>
          <w:sz w:val="36"/>
          <w:szCs w:val="44"/>
          <w:lang w:eastAsia="zh-CN"/>
        </w:rPr>
        <w:t>广东</w:t>
      </w:r>
      <w:r>
        <w:rPr>
          <w:rFonts w:hint="eastAsia" w:ascii="Arial" w:hAnsi="Arial" w:eastAsia="宋体" w:cs="Arial"/>
          <w:b/>
          <w:sz w:val="36"/>
          <w:szCs w:val="44"/>
        </w:rPr>
        <w:t>省</w:t>
      </w:r>
      <w:r>
        <w:rPr>
          <w:rFonts w:hint="eastAsia" w:ascii="Arial" w:hAnsi="Arial" w:eastAsia="宋体" w:cs="Arial"/>
          <w:b/>
          <w:sz w:val="36"/>
          <w:szCs w:val="44"/>
          <w:lang w:eastAsia="zh-CN"/>
        </w:rPr>
        <w:t>中央</w:t>
      </w:r>
      <w:r>
        <w:rPr>
          <w:rFonts w:hint="eastAsia" w:ascii="宋体" w:hAnsi="宋体" w:eastAsia="宋体" w:cs="宋体"/>
          <w:b/>
          <w:sz w:val="36"/>
          <w:szCs w:val="44"/>
        </w:rPr>
        <w:t>转移支付</w:t>
      </w:r>
      <w:r>
        <w:rPr>
          <w:rFonts w:hint="eastAsia" w:ascii="Arial" w:hAnsi="Arial" w:eastAsia="宋体" w:cs="Arial"/>
          <w:b/>
          <w:sz w:val="36"/>
          <w:szCs w:val="44"/>
        </w:rPr>
        <w:t>20</w:t>
      </w:r>
      <w:r>
        <w:rPr>
          <w:rFonts w:hint="eastAsia" w:ascii="Arial" w:hAnsi="Arial" w:eastAsia="宋体" w:cs="Arial"/>
          <w:b/>
          <w:sz w:val="36"/>
          <w:szCs w:val="44"/>
          <w:lang w:val="en-US" w:eastAsia="zh-CN"/>
        </w:rPr>
        <w:t>21</w:t>
      </w:r>
      <w:r>
        <w:rPr>
          <w:rFonts w:hint="eastAsia" w:ascii="宋体" w:hAnsi="宋体" w:eastAsia="宋体" w:cs="宋体"/>
          <w:b/>
          <w:sz w:val="36"/>
          <w:szCs w:val="44"/>
        </w:rPr>
        <w:t>年度绩效自评报告</w:t>
      </w:r>
    </w:p>
    <w:p>
      <w:pPr>
        <w:ind w:firstLine="600" w:firstLineChars="200"/>
        <w:rPr>
          <w:rFonts w:hint="eastAsia" w:ascii="黑体" w:hAnsi="黑体" w:eastAsia="黑体" w:cs="黑体"/>
          <w:bCs/>
          <w:szCs w:val="32"/>
        </w:rPr>
      </w:pPr>
    </w:p>
    <w:p>
      <w:pPr>
        <w:ind w:firstLine="600" w:firstLineChars="200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一、绩效目标分解下达情况</w:t>
      </w:r>
    </w:p>
    <w:p>
      <w:pPr>
        <w:ind w:firstLine="600" w:firstLineChars="200"/>
        <w:outlineLvl w:val="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2021年翁源县</w:t>
      </w:r>
      <w:r>
        <w:rPr>
          <w:rFonts w:hint="eastAsia" w:ascii="仿宋_GB2312"/>
          <w:szCs w:val="32"/>
          <w:lang w:eastAsia="zh-CN"/>
        </w:rPr>
        <w:t>森林抚育补助项目：</w:t>
      </w:r>
      <w:r>
        <w:rPr>
          <w:rFonts w:hint="eastAsia" w:ascii="仿宋_GB2312"/>
          <w:szCs w:val="32"/>
          <w:lang w:val="en-US" w:eastAsia="zh-CN"/>
        </w:rPr>
        <w:t>2021年中央林业改革发展</w:t>
      </w:r>
      <w:r>
        <w:rPr>
          <w:rFonts w:hint="eastAsia" w:ascii="仿宋_GB2312"/>
          <w:szCs w:val="32"/>
          <w:lang w:eastAsia="zh-CN"/>
        </w:rPr>
        <w:t>资金</w:t>
      </w:r>
      <w:r>
        <w:rPr>
          <w:rFonts w:hint="eastAsia" w:ascii="仿宋_GB2312"/>
          <w:szCs w:val="32"/>
          <w:lang w:val="en-US" w:eastAsia="zh-CN"/>
        </w:rPr>
        <w:t>231.6</w:t>
      </w:r>
      <w:r>
        <w:rPr>
          <w:rFonts w:hint="eastAsia" w:ascii="仿宋_GB2312"/>
          <w:szCs w:val="32"/>
          <w:lang w:eastAsia="zh-CN"/>
        </w:rPr>
        <w:t>万元，绩效目标为完成油茶低产低效林改造面积</w:t>
      </w:r>
      <w:r>
        <w:rPr>
          <w:rFonts w:hint="eastAsia" w:ascii="仿宋_GB2312"/>
          <w:szCs w:val="32"/>
          <w:lang w:val="en-US" w:eastAsia="zh-CN"/>
        </w:rPr>
        <w:t>14470亩。</w:t>
      </w:r>
    </w:p>
    <w:p>
      <w:pPr>
        <w:ind w:firstLine="600" w:firstLineChars="200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二、绩效目标完成情况分析</w:t>
      </w:r>
    </w:p>
    <w:p>
      <w:pPr>
        <w:ind w:firstLine="602" w:firstLineChars="200"/>
        <w:outlineLvl w:val="0"/>
        <w:rPr>
          <w:rFonts w:hint="eastAsia" w:ascii="楷体_GB2312" w:hAnsi="楷体_GB2312" w:eastAsia="楷体_GB2312" w:cs="楷体_GB2312"/>
          <w:b/>
          <w:bCs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（一）资金投入情况分析。</w:t>
      </w:r>
    </w:p>
    <w:p>
      <w:pPr>
        <w:ind w:firstLine="600" w:firstLineChars="200"/>
        <w:outlineLvl w:val="0"/>
        <w:rPr>
          <w:rFonts w:hint="eastAsia" w:ascii="仿宋_GB2312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到目前为止，2021年翁源县</w:t>
      </w:r>
      <w:r>
        <w:rPr>
          <w:rFonts w:hint="eastAsia" w:ascii="仿宋_GB2312"/>
          <w:szCs w:val="32"/>
          <w:lang w:eastAsia="zh-CN"/>
        </w:rPr>
        <w:t>森林抚育补助项目</w:t>
      </w:r>
      <w:r>
        <w:rPr>
          <w:rFonts w:hint="eastAsia" w:ascii="仿宋_GB2312"/>
          <w:szCs w:val="32"/>
          <w:lang w:val="en-US" w:eastAsia="zh-CN"/>
        </w:rPr>
        <w:t>已经完成作业规划设计、施工、监理，已完成100%。资金支付231.6万元，支付率为100%。</w:t>
      </w:r>
    </w:p>
    <w:p>
      <w:pPr>
        <w:numPr>
          <w:ilvl w:val="0"/>
          <w:numId w:val="1"/>
        </w:numPr>
        <w:ind w:firstLine="602" w:firstLineChars="200"/>
        <w:outlineLvl w:val="0"/>
        <w:rPr>
          <w:rFonts w:hint="eastAsia" w:ascii="楷体_GB2312" w:hAnsi="楷体_GB2312" w:eastAsia="楷体_GB2312" w:cs="楷体_GB2312"/>
          <w:b/>
          <w:bCs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总体绩效目标完成情况分析。</w:t>
      </w:r>
    </w:p>
    <w:p>
      <w:pPr>
        <w:ind w:firstLine="600" w:firstLineChars="200"/>
        <w:outlineLvl w:val="0"/>
        <w:rPr>
          <w:rFonts w:hint="eastAsia" w:ascii="仿宋_GB2312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通过翁源县2021年中央森林抚育，形成良好生态效益</w:t>
      </w:r>
    </w:p>
    <w:p>
      <w:pPr>
        <w:numPr>
          <w:ilvl w:val="0"/>
          <w:numId w:val="1"/>
        </w:numPr>
        <w:ind w:left="0" w:leftChars="0" w:firstLine="602" w:firstLineChars="200"/>
        <w:outlineLvl w:val="0"/>
        <w:rPr>
          <w:rFonts w:hint="eastAsia" w:ascii="楷体_GB2312" w:hAnsi="楷体_GB2312" w:eastAsia="楷体_GB2312" w:cs="楷体_GB2312"/>
          <w:b/>
          <w:bCs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绩效指标完成情况分析。</w:t>
      </w:r>
    </w:p>
    <w:p>
      <w:pPr>
        <w:ind w:firstLine="600" w:firstLineChars="200"/>
        <w:outlineLvl w:val="0"/>
        <w:rPr>
          <w:rFonts w:hint="default" w:ascii="仿宋_GB2312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1、产出指标：</w:t>
      </w:r>
    </w:p>
    <w:p>
      <w:pPr>
        <w:ind w:firstLine="600" w:firstLineChars="200"/>
        <w:outlineLvl w:val="0"/>
        <w:rPr>
          <w:rFonts w:hint="eastAsia" w:ascii="仿宋_GB2312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数量指标：完成</w:t>
      </w:r>
      <w:r>
        <w:rPr>
          <w:rFonts w:hint="eastAsia" w:ascii="仿宋_GB2312"/>
          <w:szCs w:val="32"/>
          <w:lang w:eastAsia="zh-CN"/>
        </w:rPr>
        <w:t>森林抚育补助</w:t>
      </w:r>
      <w:r>
        <w:rPr>
          <w:rFonts w:hint="eastAsia" w:ascii="仿宋_GB2312"/>
          <w:szCs w:val="32"/>
          <w:lang w:val="en-US" w:eastAsia="zh-CN"/>
        </w:rPr>
        <w:t>面积14470亩</w:t>
      </w:r>
    </w:p>
    <w:p>
      <w:pPr>
        <w:ind w:firstLine="600" w:firstLineChars="200"/>
        <w:outlineLvl w:val="0"/>
        <w:rPr>
          <w:rFonts w:hint="default" w:ascii="仿宋_GB2312"/>
          <w:szCs w:val="32"/>
          <w:lang w:val="en-US" w:eastAsia="zh-CN"/>
        </w:rPr>
      </w:pPr>
      <w:r>
        <w:rPr>
          <w:rFonts w:hint="default" w:ascii="仿宋_GB2312"/>
          <w:szCs w:val="32"/>
          <w:lang w:val="en-US" w:eastAsia="zh-CN"/>
        </w:rPr>
        <w:t>质量指标</w:t>
      </w:r>
      <w:r>
        <w:rPr>
          <w:rFonts w:hint="eastAsia" w:ascii="仿宋_GB2312"/>
          <w:szCs w:val="32"/>
          <w:lang w:val="en-US" w:eastAsia="zh-CN"/>
        </w:rPr>
        <w:t>：按照省森林抚育质量指标100%。</w:t>
      </w:r>
    </w:p>
    <w:p>
      <w:pPr>
        <w:ind w:firstLine="600" w:firstLineChars="200"/>
        <w:outlineLvl w:val="0"/>
        <w:rPr>
          <w:rFonts w:hint="eastAsia" w:ascii="仿宋_GB2312"/>
          <w:szCs w:val="32"/>
          <w:lang w:val="en-US" w:eastAsia="zh-CN"/>
        </w:rPr>
      </w:pPr>
      <w:r>
        <w:rPr>
          <w:rFonts w:hint="default" w:ascii="仿宋_GB2312"/>
          <w:szCs w:val="32"/>
          <w:lang w:val="en-US" w:eastAsia="zh-CN"/>
        </w:rPr>
        <w:t>时效指标</w:t>
      </w:r>
      <w:r>
        <w:rPr>
          <w:rFonts w:hint="eastAsia" w:ascii="仿宋_GB2312"/>
          <w:szCs w:val="32"/>
          <w:lang w:val="en-US" w:eastAsia="zh-CN"/>
        </w:rPr>
        <w:t>：当期任务完成率100%。</w:t>
      </w:r>
    </w:p>
    <w:p>
      <w:pPr>
        <w:numPr>
          <w:ilvl w:val="0"/>
          <w:numId w:val="2"/>
        </w:numPr>
        <w:ind w:firstLine="600" w:firstLineChars="200"/>
        <w:outlineLvl w:val="0"/>
        <w:rPr>
          <w:rFonts w:hint="eastAsia" w:ascii="仿宋_GB2312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效益指标：</w:t>
      </w:r>
    </w:p>
    <w:p>
      <w:pPr>
        <w:ind w:firstLine="600" w:firstLineChars="200"/>
        <w:outlineLvl w:val="0"/>
        <w:rPr>
          <w:rFonts w:hint="eastAsia" w:ascii="仿宋_GB2312"/>
          <w:szCs w:val="32"/>
          <w:lang w:val="en-US" w:eastAsia="zh-CN"/>
        </w:rPr>
      </w:pPr>
      <w:r>
        <w:rPr>
          <w:rFonts w:hint="default" w:ascii="仿宋_GB2312"/>
          <w:szCs w:val="32"/>
          <w:lang w:val="en-US" w:eastAsia="zh-CN"/>
        </w:rPr>
        <w:t>经济效益指标</w:t>
      </w:r>
      <w:r>
        <w:rPr>
          <w:rFonts w:hint="eastAsia" w:ascii="仿宋_GB2312"/>
          <w:szCs w:val="32"/>
          <w:lang w:val="en-US" w:eastAsia="zh-CN"/>
        </w:rPr>
        <w:t>：形成良好经济效益。</w:t>
      </w:r>
    </w:p>
    <w:p>
      <w:pPr>
        <w:ind w:firstLine="600" w:firstLineChars="200"/>
        <w:outlineLvl w:val="0"/>
        <w:rPr>
          <w:rFonts w:hint="eastAsia" w:ascii="仿宋_GB2312"/>
          <w:szCs w:val="32"/>
          <w:lang w:val="en-US" w:eastAsia="zh-CN"/>
        </w:rPr>
      </w:pPr>
      <w:r>
        <w:rPr>
          <w:rFonts w:hint="default" w:ascii="仿宋_GB2312"/>
          <w:szCs w:val="32"/>
          <w:lang w:val="en-US" w:eastAsia="zh-CN"/>
        </w:rPr>
        <w:t>社会效益指标</w:t>
      </w:r>
      <w:r>
        <w:rPr>
          <w:rFonts w:hint="eastAsia" w:ascii="仿宋_GB2312"/>
          <w:szCs w:val="32"/>
          <w:lang w:val="en-US" w:eastAsia="zh-CN"/>
        </w:rPr>
        <w:t>：创造劳动就业机会，带动农民增收。</w:t>
      </w:r>
    </w:p>
    <w:p>
      <w:pPr>
        <w:ind w:firstLine="600" w:firstLineChars="200"/>
        <w:outlineLvl w:val="0"/>
        <w:rPr>
          <w:rFonts w:hint="eastAsia" w:ascii="仿宋_GB2312"/>
          <w:szCs w:val="32"/>
          <w:lang w:val="en-US" w:eastAsia="zh-CN"/>
        </w:rPr>
      </w:pPr>
      <w:r>
        <w:rPr>
          <w:rFonts w:hint="default" w:ascii="仿宋_GB2312"/>
          <w:szCs w:val="32"/>
          <w:lang w:val="en-US" w:eastAsia="zh-CN"/>
        </w:rPr>
        <w:t>生态效益指标</w:t>
      </w:r>
      <w:r>
        <w:rPr>
          <w:rFonts w:hint="eastAsia" w:ascii="仿宋_GB2312"/>
          <w:szCs w:val="32"/>
          <w:lang w:val="en-US" w:eastAsia="zh-CN"/>
        </w:rPr>
        <w:t>：形成良好生态效益。</w:t>
      </w:r>
    </w:p>
    <w:p>
      <w:pPr>
        <w:ind w:firstLine="600" w:firstLineChars="200"/>
        <w:outlineLvl w:val="0"/>
        <w:rPr>
          <w:rFonts w:hint="default" w:ascii="仿宋_GB2312"/>
          <w:szCs w:val="32"/>
          <w:lang w:val="en-US" w:eastAsia="zh-CN"/>
        </w:rPr>
      </w:pPr>
      <w:r>
        <w:rPr>
          <w:rFonts w:hint="default" w:ascii="仿宋_GB2312"/>
          <w:szCs w:val="32"/>
          <w:lang w:val="en-US" w:eastAsia="zh-CN"/>
        </w:rPr>
        <w:t>可持续影响指标</w:t>
      </w:r>
      <w:r>
        <w:rPr>
          <w:rFonts w:hint="eastAsia" w:ascii="仿宋_GB2312"/>
          <w:szCs w:val="32"/>
          <w:lang w:val="en-US" w:eastAsia="zh-CN"/>
        </w:rPr>
        <w:t>：形成可持续影响。</w:t>
      </w:r>
    </w:p>
    <w:p>
      <w:pPr>
        <w:ind w:firstLine="600" w:firstLineChars="200"/>
        <w:rPr>
          <w:rFonts w:hint="eastAsia" w:ascii="仿宋_GB2312"/>
          <w:szCs w:val="32"/>
          <w:lang w:eastAsia="zh-CN"/>
        </w:rPr>
      </w:pPr>
      <w:r>
        <w:rPr>
          <w:rFonts w:hint="eastAsia" w:ascii="黑体" w:hAnsi="黑体" w:eastAsia="黑体" w:cs="黑体"/>
          <w:bCs/>
          <w:szCs w:val="32"/>
        </w:rPr>
        <w:t>三、偏离绩效目标的原因和下一步改进措施</w:t>
      </w:r>
      <w:bookmarkStart w:id="0" w:name="_GoBack"/>
      <w:bookmarkEnd w:id="0"/>
    </w:p>
    <w:p>
      <w:pPr>
        <w:ind w:firstLine="600" w:firstLineChars="200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四、绩效自评结果拟应用和公开情况</w:t>
      </w:r>
    </w:p>
    <w:p>
      <w:pPr>
        <w:ind w:firstLine="600" w:firstLineChars="200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五、其他需要说明的问题</w:t>
      </w:r>
    </w:p>
    <w:p>
      <w:pPr>
        <w:ind w:firstLine="600" w:firstLineChars="200"/>
      </w:pPr>
      <w:r>
        <w:rPr>
          <w:rFonts w:hint="eastAsia"/>
        </w:rPr>
        <w:t>附：转移支付区域（项目）绩效目标自评表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55040C"/>
    <w:multiLevelType w:val="singleLevel"/>
    <w:tmpl w:val="8F55040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76CF05B"/>
    <w:multiLevelType w:val="singleLevel"/>
    <w:tmpl w:val="076CF05B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50"/>
  <w:drawingGridVerticalSpacing w:val="5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F82"/>
    <w:rsid w:val="000101E1"/>
    <w:rsid w:val="000732DA"/>
    <w:rsid w:val="00075CDC"/>
    <w:rsid w:val="000B1E8F"/>
    <w:rsid w:val="000B6964"/>
    <w:rsid w:val="00103D16"/>
    <w:rsid w:val="00111638"/>
    <w:rsid w:val="00111928"/>
    <w:rsid w:val="0012041C"/>
    <w:rsid w:val="00164D84"/>
    <w:rsid w:val="00173016"/>
    <w:rsid w:val="0017509C"/>
    <w:rsid w:val="001808CA"/>
    <w:rsid w:val="001A4E46"/>
    <w:rsid w:val="001E03FE"/>
    <w:rsid w:val="002123E8"/>
    <w:rsid w:val="00250053"/>
    <w:rsid w:val="0029569C"/>
    <w:rsid w:val="002A5FA7"/>
    <w:rsid w:val="002B3EEF"/>
    <w:rsid w:val="002B54E4"/>
    <w:rsid w:val="002E5562"/>
    <w:rsid w:val="002F6705"/>
    <w:rsid w:val="00301FC0"/>
    <w:rsid w:val="00336A16"/>
    <w:rsid w:val="003663A3"/>
    <w:rsid w:val="00387DD5"/>
    <w:rsid w:val="003B0980"/>
    <w:rsid w:val="003C6374"/>
    <w:rsid w:val="003D2CB9"/>
    <w:rsid w:val="00413F12"/>
    <w:rsid w:val="00493012"/>
    <w:rsid w:val="004D2137"/>
    <w:rsid w:val="005D1514"/>
    <w:rsid w:val="005D7CC3"/>
    <w:rsid w:val="006218A1"/>
    <w:rsid w:val="00682A10"/>
    <w:rsid w:val="006A30E4"/>
    <w:rsid w:val="006A74BF"/>
    <w:rsid w:val="006C1CEE"/>
    <w:rsid w:val="006D5A86"/>
    <w:rsid w:val="00707C2E"/>
    <w:rsid w:val="00722A7D"/>
    <w:rsid w:val="00724A6B"/>
    <w:rsid w:val="0073331B"/>
    <w:rsid w:val="00733C2D"/>
    <w:rsid w:val="00756C7F"/>
    <w:rsid w:val="007D7E6E"/>
    <w:rsid w:val="00850797"/>
    <w:rsid w:val="00853FC4"/>
    <w:rsid w:val="008720F1"/>
    <w:rsid w:val="00882EFA"/>
    <w:rsid w:val="008B2F56"/>
    <w:rsid w:val="008F0996"/>
    <w:rsid w:val="00903791"/>
    <w:rsid w:val="009600BD"/>
    <w:rsid w:val="00961C83"/>
    <w:rsid w:val="009922BC"/>
    <w:rsid w:val="009E0D8C"/>
    <w:rsid w:val="00A02AF3"/>
    <w:rsid w:val="00A25077"/>
    <w:rsid w:val="00A610CC"/>
    <w:rsid w:val="00A8737E"/>
    <w:rsid w:val="00AA19AF"/>
    <w:rsid w:val="00BC6882"/>
    <w:rsid w:val="00BD3FE0"/>
    <w:rsid w:val="00BE58CF"/>
    <w:rsid w:val="00CA5578"/>
    <w:rsid w:val="00CA7DAA"/>
    <w:rsid w:val="00D04826"/>
    <w:rsid w:val="00D63908"/>
    <w:rsid w:val="00D8718A"/>
    <w:rsid w:val="00D93453"/>
    <w:rsid w:val="00DC524D"/>
    <w:rsid w:val="00E071D6"/>
    <w:rsid w:val="00ED3E0F"/>
    <w:rsid w:val="00F015E4"/>
    <w:rsid w:val="00F57F82"/>
    <w:rsid w:val="00F75224"/>
    <w:rsid w:val="00F91EAE"/>
    <w:rsid w:val="00FA086C"/>
    <w:rsid w:val="00FA2093"/>
    <w:rsid w:val="00FA357A"/>
    <w:rsid w:val="02962229"/>
    <w:rsid w:val="037D0BC8"/>
    <w:rsid w:val="0845082D"/>
    <w:rsid w:val="09E965F2"/>
    <w:rsid w:val="0C994AE3"/>
    <w:rsid w:val="139840D3"/>
    <w:rsid w:val="143E091F"/>
    <w:rsid w:val="14865FC8"/>
    <w:rsid w:val="150C2DB0"/>
    <w:rsid w:val="1E761F05"/>
    <w:rsid w:val="1F7BE1E6"/>
    <w:rsid w:val="1FC7205C"/>
    <w:rsid w:val="228B3D05"/>
    <w:rsid w:val="253D0FF0"/>
    <w:rsid w:val="25AE6C92"/>
    <w:rsid w:val="284E74F8"/>
    <w:rsid w:val="2ADB48E8"/>
    <w:rsid w:val="2B195E65"/>
    <w:rsid w:val="36687282"/>
    <w:rsid w:val="38EF7AD8"/>
    <w:rsid w:val="3E1672E6"/>
    <w:rsid w:val="3EB9C2BB"/>
    <w:rsid w:val="415F08D8"/>
    <w:rsid w:val="44CD2CBA"/>
    <w:rsid w:val="44E2230F"/>
    <w:rsid w:val="48B51347"/>
    <w:rsid w:val="491B45FA"/>
    <w:rsid w:val="4A55216A"/>
    <w:rsid w:val="4FE0696A"/>
    <w:rsid w:val="546F8569"/>
    <w:rsid w:val="55673508"/>
    <w:rsid w:val="59595A6F"/>
    <w:rsid w:val="599330CA"/>
    <w:rsid w:val="5A7FCB1F"/>
    <w:rsid w:val="5FEAF7C9"/>
    <w:rsid w:val="60D5009F"/>
    <w:rsid w:val="64AC2E11"/>
    <w:rsid w:val="660721C9"/>
    <w:rsid w:val="661E6C75"/>
    <w:rsid w:val="67F75FF5"/>
    <w:rsid w:val="681D4831"/>
    <w:rsid w:val="692E4B19"/>
    <w:rsid w:val="69513EF7"/>
    <w:rsid w:val="6BF3256F"/>
    <w:rsid w:val="6CE7018A"/>
    <w:rsid w:val="6E3E3F2D"/>
    <w:rsid w:val="715B2F02"/>
    <w:rsid w:val="76A548F2"/>
    <w:rsid w:val="7765772E"/>
    <w:rsid w:val="776F5E62"/>
    <w:rsid w:val="77867685"/>
    <w:rsid w:val="781F36B6"/>
    <w:rsid w:val="790627AD"/>
    <w:rsid w:val="7ADC59FA"/>
    <w:rsid w:val="7AFF2FC3"/>
    <w:rsid w:val="7BF6B4C5"/>
    <w:rsid w:val="7CBA06DD"/>
    <w:rsid w:val="7DDD794F"/>
    <w:rsid w:val="7FDE47D5"/>
    <w:rsid w:val="94BFC172"/>
    <w:rsid w:val="9BFA614C"/>
    <w:rsid w:val="BFBF52D7"/>
    <w:rsid w:val="DF6E82F1"/>
    <w:rsid w:val="F7FBEBBF"/>
    <w:rsid w:val="FDB5389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71</Words>
  <Characters>410</Characters>
  <Lines>3</Lines>
  <Paragraphs>1</Paragraphs>
  <TotalTime>6</TotalTime>
  <ScaleCrop>false</ScaleCrop>
  <LinksUpToDate>false</LinksUpToDate>
  <CharactersWithSpaces>480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2019-02-13T14:26:00Z</dcterms:created>
  <dc:creator>lhn</dc:creator>
  <cp:lastModifiedBy>Administrator</cp:lastModifiedBy>
  <cp:lastPrinted>2021-02-02T20:58:00Z</cp:lastPrinted>
  <dcterms:modified xsi:type="dcterms:W3CDTF">2022-03-16T02:46:20Z</dcterms:modified>
  <dc:title>财政支出绩效评价报告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4D7FB58F210949CBAA8DFE35930C2BD2</vt:lpwstr>
  </property>
</Properties>
</file>