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Times New Roman" w:hAnsi="Times New Roman" w:eastAsia="宋体" w:cs="Times New Roman"/>
          <w:szCs w:val="32"/>
          <w:lang w:eastAsia="zh-CN"/>
        </w:rPr>
      </w:pPr>
      <w:r>
        <w:rPr>
          <w:rFonts w:hint="eastAsia" w:ascii="Times New Roman" w:hAnsi="Times New Roman" w:eastAsia="宋体" w:cs="Times New Roman"/>
          <w:szCs w:val="32"/>
        </w:rPr>
        <w:t>附件</w:t>
      </w:r>
      <w:r>
        <w:rPr>
          <w:rFonts w:hint="eastAsia" w:ascii="Times New Roman" w:hAnsi="Times New Roman" w:eastAsia="宋体" w:cs="Times New Roman"/>
          <w:szCs w:val="32"/>
          <w:lang w:val="en-US" w:eastAsia="zh-CN"/>
        </w:rPr>
        <w:t>3</w:t>
      </w:r>
    </w:p>
    <w:p>
      <w:pPr>
        <w:adjustRightInd w:val="0"/>
        <w:snapToGrid w:val="0"/>
        <w:spacing w:line="360" w:lineRule="auto"/>
        <w:jc w:val="center"/>
        <w:rPr>
          <w:rFonts w:ascii="Times New Roman" w:hAnsi="Times New Roman" w:eastAsia="宋体" w:cs="Times New Roman"/>
          <w:b/>
          <w:bCs/>
          <w:sz w:val="36"/>
          <w:szCs w:val="36"/>
        </w:rPr>
      </w:pPr>
      <w:r>
        <w:rPr>
          <w:rFonts w:hint="eastAsia" w:ascii="Times New Roman" w:hAnsi="Times New Roman" w:eastAsia="宋体" w:cs="Times New Roman"/>
          <w:b/>
          <w:bCs/>
          <w:sz w:val="36"/>
          <w:szCs w:val="36"/>
          <w:lang w:val="en-US" w:eastAsia="zh-CN"/>
        </w:rPr>
        <w:t>北江流域森林生态资源有害生物防治项目（翁源县2021年病枯死松树清理除治项目）</w:t>
      </w:r>
      <w:r>
        <w:rPr>
          <w:rFonts w:hint="eastAsia" w:ascii="Times New Roman" w:hAnsi="Times New Roman" w:eastAsia="宋体" w:cs="Times New Roman"/>
          <w:b/>
          <w:bCs/>
          <w:sz w:val="36"/>
          <w:szCs w:val="36"/>
        </w:rPr>
        <w:t>绩效考核自评报告</w:t>
      </w:r>
    </w:p>
    <w:p>
      <w:pPr>
        <w:autoSpaceDE w:val="0"/>
        <w:autoSpaceDN w:val="0"/>
        <w:adjustRightInd w:val="0"/>
        <w:spacing w:line="560" w:lineRule="exact"/>
        <w:jc w:val="left"/>
        <w:rPr>
          <w:rFonts w:ascii="黑体" w:hAnsi="黑体" w:eastAsia="黑体" w:cs="HiddenHorzOCR"/>
        </w:rPr>
      </w:pPr>
      <w:r>
        <w:rPr>
          <w:rFonts w:hint="eastAsia" w:ascii="黑体" w:hAnsi="黑体" w:eastAsia="黑体" w:cs="HiddenHorzOCR"/>
        </w:rPr>
        <w:t>一、基本情况</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（一）</w:t>
      </w:r>
      <w:r>
        <w:rPr>
          <w:rFonts w:hint="eastAsia" w:ascii="仿宋_GB2312" w:hAnsi="仿宋_GB2312" w:eastAsia="仿宋_GB2312" w:cs="HiddenHorzOCR"/>
          <w:sz w:val="32"/>
          <w:szCs w:val="32"/>
          <w:lang w:val="en-US" w:eastAsia="zh-CN"/>
        </w:rPr>
        <w:t>北江流域森林生态资源有害生物防治项目（翁源县2021年病枯死松树清理除治项目）</w:t>
      </w:r>
      <w:r>
        <w:rPr>
          <w:rFonts w:hint="eastAsia" w:ascii="仿宋_GB2312" w:hAnsi="仿宋_GB2312" w:eastAsia="仿宋_GB2312" w:cs="HiddenHorzOCR"/>
          <w:sz w:val="32"/>
          <w:szCs w:val="32"/>
          <w:lang w:eastAsia="zh-CN"/>
        </w:rPr>
        <w:t>：</w:t>
      </w:r>
      <w:r>
        <w:rPr>
          <w:rFonts w:hint="eastAsia" w:ascii="仿宋_GB2312" w:hAnsi="仿宋_GB2312" w:eastAsia="仿宋_GB2312" w:cs="HiddenHorzOCR"/>
          <w:sz w:val="32"/>
          <w:szCs w:val="32"/>
        </w:rPr>
        <w:t>中央财政安排山水林田湖草生态保护修复工程试点基础性奖补资金</w:t>
      </w:r>
      <w:r>
        <w:rPr>
          <w:rFonts w:hint="eastAsia" w:ascii="仿宋_GB2312" w:hAnsi="仿宋_GB2312" w:cs="HiddenHorzOCR"/>
          <w:sz w:val="32"/>
          <w:szCs w:val="32"/>
          <w:lang w:val="en-US" w:eastAsia="zh-CN"/>
        </w:rPr>
        <w:t>300</w:t>
      </w:r>
      <w:r>
        <w:rPr>
          <w:rFonts w:hint="eastAsia" w:ascii="仿宋_GB2312" w:hAnsi="仿宋_GB2312" w:eastAsia="仿宋_GB2312" w:cs="HiddenHorzOCR"/>
          <w:sz w:val="32"/>
          <w:szCs w:val="32"/>
          <w:lang w:val="en-US" w:eastAsia="zh-CN"/>
        </w:rPr>
        <w:t>万元</w:t>
      </w:r>
      <w:r>
        <w:rPr>
          <w:rFonts w:hint="eastAsia" w:ascii="仿宋_GB2312" w:hAnsi="仿宋_GB2312" w:eastAsia="仿宋_GB2312" w:cs="HiddenHorzOCR"/>
          <w:sz w:val="32"/>
          <w:szCs w:val="32"/>
          <w:lang w:eastAsia="zh-CN"/>
        </w:rPr>
        <w:t>，</w:t>
      </w:r>
      <w:r>
        <w:rPr>
          <w:rFonts w:hint="eastAsia" w:ascii="仿宋_GB2312" w:hAnsi="MS Mincho" w:eastAsia="仿宋_GB2312" w:cs="MS Mincho"/>
          <w:sz w:val="32"/>
          <w:szCs w:val="32"/>
        </w:rPr>
        <w:t>绩效目标</w:t>
      </w:r>
      <w:r>
        <w:rPr>
          <w:rFonts w:hint="eastAsia" w:ascii="仿宋_GB2312" w:hAnsi="MS Mincho" w:eastAsia="仿宋_GB2312" w:cs="MS Mincho"/>
          <w:sz w:val="32"/>
          <w:szCs w:val="32"/>
          <w:lang w:eastAsia="zh-CN"/>
        </w:rPr>
        <w:t>为</w:t>
      </w:r>
      <w:r>
        <w:rPr>
          <w:rFonts w:hint="eastAsia" w:ascii="仿宋_GB2312" w:hAnsi="MS Mincho" w:eastAsia="仿宋_GB2312" w:cs="MS Mincho"/>
          <w:color w:val="000000"/>
          <w:sz w:val="32"/>
          <w:szCs w:val="32"/>
          <w:lang w:eastAsia="zh-CN"/>
        </w:rPr>
        <w:t>完成清理病疫树10000株</w:t>
      </w:r>
      <w:r>
        <w:rPr>
          <w:rFonts w:hint="eastAsia" w:ascii="仿宋_GB2312" w:hAnsi="MS Mincho" w:cs="MS Mincho"/>
          <w:szCs w:val="32"/>
        </w:rPr>
        <w:t>；</w:t>
      </w:r>
    </w:p>
    <w:p>
      <w:pPr>
        <w:autoSpaceDE w:val="0"/>
        <w:autoSpaceDN w:val="0"/>
        <w:adjustRightInd w:val="0"/>
        <w:spacing w:line="560" w:lineRule="exact"/>
        <w:jc w:val="left"/>
        <w:rPr>
          <w:rFonts w:ascii="黑体" w:hAnsi="黑体" w:eastAsia="黑体" w:cs="HiddenHorzOCR"/>
          <w:szCs w:val="25"/>
        </w:rPr>
      </w:pPr>
      <w:r>
        <w:rPr>
          <w:rFonts w:hint="eastAsia" w:ascii="黑体" w:hAnsi="黑体" w:eastAsia="黑体" w:cs="HiddenHorzOCR"/>
          <w:szCs w:val="25"/>
        </w:rPr>
        <w:t>二、</w:t>
      </w:r>
      <w:r>
        <w:rPr>
          <w:rFonts w:hint="eastAsia" w:ascii="黑体" w:hAnsi="宋体" w:eastAsia="黑体" w:cs="宋体"/>
          <w:szCs w:val="25"/>
        </w:rPr>
        <w:t>绩</w:t>
      </w:r>
      <w:r>
        <w:rPr>
          <w:rFonts w:hint="eastAsia" w:ascii="黑体" w:hAnsi="黑体" w:eastAsia="黑体" w:cs="HiddenHorzOCR"/>
          <w:szCs w:val="25"/>
        </w:rPr>
        <w:t>效自</w:t>
      </w:r>
      <w:r>
        <w:rPr>
          <w:rFonts w:hint="eastAsia" w:ascii="黑体" w:hAnsi="宋体" w:eastAsia="黑体" w:cs="宋体"/>
          <w:szCs w:val="25"/>
        </w:rPr>
        <w:t>评</w:t>
      </w:r>
      <w:r>
        <w:rPr>
          <w:rFonts w:hint="eastAsia" w:ascii="黑体" w:hAnsi="MS Mincho" w:eastAsia="黑体" w:cs="MS Mincho"/>
          <w:szCs w:val="25"/>
        </w:rPr>
        <w:t>工作</w:t>
      </w:r>
      <w:r>
        <w:rPr>
          <w:rFonts w:hint="eastAsia" w:ascii="黑体" w:hAnsi="宋体" w:eastAsia="黑体" w:cs="宋体"/>
          <w:szCs w:val="25"/>
        </w:rPr>
        <w:t>开</w:t>
      </w:r>
      <w:r>
        <w:rPr>
          <w:rFonts w:hint="eastAsia" w:ascii="黑体" w:hAnsi="MS Mincho" w:eastAsia="黑体" w:cs="MS Mincho"/>
          <w:szCs w:val="25"/>
        </w:rPr>
        <w:t>展</w:t>
      </w:r>
      <w:r>
        <w:rPr>
          <w:rFonts w:hint="eastAsia" w:ascii="黑体" w:hAnsi="黑体" w:eastAsia="黑体" w:cs="HiddenHorzOCR"/>
          <w:szCs w:val="25"/>
        </w:rPr>
        <w:t>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cs="HiddenHorzOCR"/>
          <w:sz w:val="32"/>
          <w:szCs w:val="32"/>
          <w:lang w:eastAsia="zh-CN"/>
        </w:rPr>
      </w:pPr>
      <w:r>
        <w:rPr>
          <w:rFonts w:hint="eastAsia" w:ascii="仿宋_GB2312" w:hAnsi="仿宋_GB2312" w:cs="HiddenHorzOCR"/>
          <w:sz w:val="32"/>
          <w:szCs w:val="32"/>
          <w:lang w:eastAsia="zh-CN"/>
        </w:rPr>
        <w:t>（一）前期准备</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lang w:eastAsia="zh-CN"/>
        </w:rPr>
      </w:pPr>
      <w:bookmarkStart w:id="0" w:name="_Hlk15592801"/>
      <w:r>
        <w:rPr>
          <w:rFonts w:hint="eastAsia" w:ascii="仿宋_GB2312" w:hAnsi="仿宋_GB2312" w:cs="HiddenHorzOCR"/>
          <w:sz w:val="32"/>
          <w:szCs w:val="32"/>
          <w:lang w:eastAsia="zh-CN"/>
        </w:rPr>
        <w:t>县林业局组织相关工作人员，</w:t>
      </w:r>
      <w:r>
        <w:rPr>
          <w:rFonts w:hint="eastAsia" w:ascii="仿宋_GB2312" w:hAnsi="仿宋_GB2312" w:eastAsia="仿宋_GB2312" w:cs="HiddenHorzOCR"/>
          <w:sz w:val="32"/>
          <w:szCs w:val="32"/>
          <w:lang w:eastAsia="zh-CN"/>
        </w:rPr>
        <w:t>学习和解读了《</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w:t>
      </w:r>
      <w:bookmarkEnd w:id="0"/>
      <w:r>
        <w:rPr>
          <w:rFonts w:hint="eastAsia" w:ascii="仿宋_GB2312" w:hAnsi="仿宋_GB2312" w:eastAsia="仿宋_GB2312" w:cs="HiddenHorzOCR"/>
          <w:sz w:val="32"/>
          <w:szCs w:val="32"/>
          <w:lang w:eastAsia="zh-CN"/>
        </w:rPr>
        <w:t>等涉及本次绩效评价工作的政策文件，分发给工作组每一位成员，要求大家全面深入学习，确保评价工作开展前充分把握相关政策文件。</w:t>
      </w:r>
    </w:p>
    <w:p>
      <w:pPr>
        <w:ind w:firstLine="632" w:firstLineChars="200"/>
        <w:rPr>
          <w:rFonts w:hint="eastAsia" w:ascii="仿宋_GB2312" w:hAnsi="仿宋_GB2312" w:eastAsia="仿宋_GB2312" w:cs="HiddenHorzOCR"/>
          <w:sz w:val="32"/>
          <w:szCs w:val="32"/>
          <w:lang w:eastAsia="zh-CN"/>
        </w:rPr>
      </w:pPr>
      <w:r>
        <w:rPr>
          <w:rFonts w:hint="eastAsia" w:ascii="仿宋_GB2312" w:hAnsi="仿宋_GB2312" w:eastAsia="仿宋_GB2312" w:cs="仿宋_GB2312"/>
          <w:sz w:val="32"/>
          <w:szCs w:val="32"/>
        </w:rPr>
        <w:t>为能顺利开展本次绩效自评工作，业务部门整理</w:t>
      </w:r>
      <w:r>
        <w:rPr>
          <w:rFonts w:hint="eastAsia" w:ascii="仿宋_GB2312" w:hAnsi="仿宋_GB2312" w:eastAsia="仿宋_GB2312" w:cs="仿宋_GB2312"/>
          <w:sz w:val="32"/>
          <w:szCs w:val="32"/>
          <w:lang w:val="en-US" w:eastAsia="zh-CN"/>
        </w:rPr>
        <w:t>病枯死松树清理除治项目</w:t>
      </w:r>
      <w:r>
        <w:rPr>
          <w:rFonts w:hint="eastAsia" w:ascii="仿宋_GB2312" w:hAnsi="仿宋_GB2312" w:eastAsia="仿宋_GB2312" w:cs="仿宋_GB2312"/>
          <w:sz w:val="32"/>
          <w:szCs w:val="32"/>
        </w:rPr>
        <w:t>规划资料、作业设计方案、现场照片等档案资料，确定各项绩效指标</w:t>
      </w:r>
      <w:r>
        <w:rPr>
          <w:rFonts w:hint="eastAsia" w:ascii="仿宋_GB2312" w:hAnsi="仿宋_GB2312" w:cs="仿宋_GB2312"/>
          <w:sz w:val="32"/>
          <w:szCs w:val="32"/>
          <w:lang w:eastAsia="zh-CN"/>
        </w:rPr>
        <w:t>，制定科学的自评方案，为做好绩效自评工作做好准备。</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rPr>
      </w:pPr>
      <w:r>
        <w:rPr>
          <w:rFonts w:hint="eastAsia" w:ascii="仿宋_GB2312" w:hAnsi="宋体" w:eastAsia="仿宋_GB2312" w:cs="宋体"/>
          <w:sz w:val="32"/>
          <w:szCs w:val="32"/>
        </w:rPr>
        <w:t>组织过</w:t>
      </w:r>
      <w:r>
        <w:rPr>
          <w:rFonts w:hint="eastAsia" w:ascii="仿宋_GB2312" w:hAnsi="MS Mincho" w:eastAsia="仿宋_GB2312" w:cs="MS Mincho"/>
          <w:sz w:val="32"/>
          <w:szCs w:val="32"/>
        </w:rPr>
        <w:t>程</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项目组在前期</w:t>
      </w:r>
      <w:r>
        <w:rPr>
          <w:rFonts w:hint="eastAsia" w:ascii="仿宋_GB2312" w:hAnsi="仿宋_GB2312" w:cs="HiddenHorzOCR"/>
          <w:sz w:val="32"/>
          <w:szCs w:val="32"/>
          <w:lang w:eastAsia="zh-CN"/>
        </w:rPr>
        <w:t>现场</w:t>
      </w:r>
      <w:r>
        <w:rPr>
          <w:rFonts w:hint="eastAsia" w:ascii="仿宋_GB2312" w:hAnsi="仿宋_GB2312" w:eastAsia="仿宋_GB2312" w:cs="HiddenHorzOCR"/>
          <w:sz w:val="32"/>
          <w:szCs w:val="32"/>
          <w:lang w:eastAsia="zh-CN"/>
        </w:rPr>
        <w:t>调研的基础上，完成了项目绩效评价工作方案，按《</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设计了指标体系、评价标准等，明确了评价的目的、方法、评价原则。项目组严格按照工作方案，通过调研、相关文件的解读、数据采集、数据分析、指标评分和报告撰写等环节，顺利完成了本次绩效评价工作。</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firstLine="632" w:firstLineChars="200"/>
        <w:jc w:val="left"/>
        <w:textAlignment w:val="auto"/>
        <w:rPr>
          <w:rFonts w:hint="default" w:ascii="仿宋_GB2312" w:hAnsi="仿宋_GB2312" w:eastAsia="仿宋_GB2312" w:cs="HiddenHorzOCR"/>
          <w:sz w:val="32"/>
          <w:szCs w:val="32"/>
          <w:lang w:val="en-US"/>
        </w:rPr>
      </w:pPr>
      <w:r>
        <w:rPr>
          <w:rFonts w:hint="eastAsia" w:ascii="仿宋_GB2312" w:hAnsi="仿宋_GB2312" w:eastAsia="仿宋_GB2312" w:cs="HiddenHorzOCR"/>
          <w:sz w:val="32"/>
          <w:szCs w:val="32"/>
          <w:lang w:eastAsia="zh-CN"/>
        </w:rPr>
        <w:t>分析评价</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hint="default" w:ascii="仿宋_GB2312" w:hAnsi="仿宋_GB2312" w:eastAsia="仿宋_GB2312" w:cs="HiddenHorzOCR"/>
          <w:sz w:val="32"/>
          <w:szCs w:val="32"/>
          <w:lang w:val="en-US" w:eastAsia="zh-CN"/>
        </w:rPr>
      </w:pPr>
      <w:r>
        <w:rPr>
          <w:rFonts w:hint="eastAsia" w:ascii="仿宋_GB2312" w:hAnsi="仿宋_GB2312" w:eastAsia="仿宋_GB2312" w:cs="HiddenHorzOCR"/>
          <w:sz w:val="32"/>
          <w:szCs w:val="32"/>
          <w:lang w:eastAsia="zh-CN"/>
        </w:rPr>
        <w:t>按《</w:t>
      </w:r>
      <w:r>
        <w:rPr>
          <w:rFonts w:hint="eastAsia" w:ascii="仿宋_GB2312" w:hAnsi="仿宋_GB2312" w:eastAsia="仿宋_GB2312" w:cs="HiddenHorzOCR"/>
          <w:sz w:val="32"/>
          <w:szCs w:val="32"/>
          <w:lang w:val="en-US" w:eastAsia="zh-CN"/>
        </w:rPr>
        <w:t>韶关市山水林田湖草生态保护修复试点工程项目绩效考评办法</w:t>
      </w:r>
      <w:r>
        <w:rPr>
          <w:rFonts w:hint="eastAsia" w:ascii="仿宋_GB2312" w:hAnsi="仿宋_GB2312" w:eastAsia="仿宋_GB2312" w:cs="HiddenHorzOCR"/>
          <w:sz w:val="32"/>
          <w:szCs w:val="32"/>
          <w:lang w:eastAsia="zh-CN"/>
        </w:rPr>
        <w:t>》指标体系、评价标准等，通过数据采集和数据分析，对《</w:t>
      </w:r>
      <w:r>
        <w:rPr>
          <w:rFonts w:hint="eastAsia" w:ascii="仿宋_GB2312" w:hAnsi="仿宋_GB2312" w:eastAsia="仿宋_GB2312" w:cs="HiddenHorzOCR"/>
          <w:sz w:val="32"/>
          <w:szCs w:val="32"/>
          <w:lang w:val="en-US" w:eastAsia="zh-CN"/>
        </w:rPr>
        <w:t>滃江支流生态环境系统保护修复工程</w:t>
      </w:r>
      <w:r>
        <w:rPr>
          <w:rFonts w:hint="eastAsia" w:ascii="仿宋_GB2312" w:hAnsi="仿宋_GB2312" w:cs="HiddenHorzOCR"/>
          <w:sz w:val="32"/>
          <w:szCs w:val="32"/>
          <w:lang w:val="en-US" w:eastAsia="zh-CN"/>
        </w:rPr>
        <w:t>-</w:t>
      </w:r>
      <w:r>
        <w:rPr>
          <w:rFonts w:hint="eastAsia" w:ascii="仿宋_GB2312" w:hAnsi="仿宋_GB2312" w:eastAsia="仿宋_GB2312" w:cs="HiddenHorzOCR"/>
          <w:sz w:val="32"/>
          <w:szCs w:val="32"/>
          <w:lang w:eastAsia="zh-CN"/>
        </w:rPr>
        <w:t>翁源县历史遗留工矿废弃地</w:t>
      </w:r>
      <w:r>
        <w:rPr>
          <w:rFonts w:hint="eastAsia" w:ascii="仿宋_GB2312" w:hAnsi="仿宋_GB2312" w:eastAsia="仿宋_GB2312" w:cs="HiddenHorzOCR"/>
          <w:sz w:val="32"/>
          <w:szCs w:val="32"/>
        </w:rPr>
        <w:t>复垦复绿</w:t>
      </w:r>
      <w:r>
        <w:rPr>
          <w:rFonts w:hint="eastAsia" w:ascii="仿宋_GB2312" w:hAnsi="仿宋_GB2312" w:eastAsia="仿宋_GB2312" w:cs="HiddenHorzOCR"/>
          <w:sz w:val="32"/>
          <w:szCs w:val="32"/>
          <w:lang w:eastAsia="zh-CN"/>
        </w:rPr>
        <w:t>项目》绩效进行了客观绩效自评，详见附件</w:t>
      </w:r>
      <w:r>
        <w:rPr>
          <w:rFonts w:hint="eastAsia" w:ascii="仿宋_GB2312" w:hAnsi="仿宋_GB2312" w:eastAsia="仿宋_GB2312" w:cs="HiddenHorzOCR"/>
          <w:sz w:val="32"/>
          <w:szCs w:val="32"/>
          <w:lang w:val="en-US" w:eastAsia="zh-CN"/>
        </w:rPr>
        <w:t>1。</w:t>
      </w:r>
    </w:p>
    <w:p>
      <w:pPr>
        <w:numPr>
          <w:ilvl w:val="0"/>
          <w:numId w:val="2"/>
        </w:numPr>
        <w:autoSpaceDE w:val="0"/>
        <w:autoSpaceDN w:val="0"/>
        <w:adjustRightInd w:val="0"/>
        <w:spacing w:line="560" w:lineRule="exact"/>
        <w:jc w:val="left"/>
        <w:rPr>
          <w:rFonts w:hint="eastAsia" w:ascii="黑体" w:hAnsi="宋体" w:eastAsia="黑体" w:cs="宋体"/>
        </w:rPr>
      </w:pPr>
      <w:r>
        <w:rPr>
          <w:rFonts w:hint="eastAsia" w:ascii="黑体" w:hAnsi="宋体" w:eastAsia="黑体" w:cs="宋体"/>
        </w:rPr>
        <w:t>综</w:t>
      </w:r>
      <w:r>
        <w:rPr>
          <w:rFonts w:hint="eastAsia" w:ascii="黑体" w:hAnsi="MS Mincho" w:eastAsia="黑体" w:cs="MS Mincho"/>
        </w:rPr>
        <w:t>合</w:t>
      </w:r>
      <w:r>
        <w:rPr>
          <w:rFonts w:hint="eastAsia" w:ascii="黑体" w:hAnsi="宋体" w:eastAsia="黑体" w:cs="宋体"/>
        </w:rPr>
        <w:t>评</w:t>
      </w:r>
      <w:r>
        <w:rPr>
          <w:rFonts w:hint="eastAsia" w:ascii="黑体" w:hAnsi="MS Mincho" w:eastAsia="黑体" w:cs="MS Mincho"/>
        </w:rPr>
        <w:t>价</w:t>
      </w:r>
      <w:r>
        <w:rPr>
          <w:rFonts w:hint="eastAsia" w:ascii="黑体" w:hAnsi="宋体" w:eastAsia="黑体" w:cs="宋体"/>
        </w:rPr>
        <w:t>结论</w:t>
      </w:r>
    </w:p>
    <w:p>
      <w:pPr>
        <w:autoSpaceDE w:val="0"/>
        <w:autoSpaceDN w:val="0"/>
        <w:adjustRightInd w:val="0"/>
        <w:spacing w:line="560" w:lineRule="exact"/>
        <w:ind w:firstLine="632" w:firstLineChars="200"/>
        <w:jc w:val="left"/>
        <w:rPr>
          <w:rFonts w:hint="eastAsia" w:ascii="黑体" w:hAnsi="宋体" w:eastAsia="黑体" w:cs="宋体"/>
          <w:sz w:val="32"/>
        </w:rPr>
      </w:pPr>
      <w:r>
        <w:rPr>
          <w:rFonts w:hint="eastAsia" w:ascii="仿宋_GB2312" w:hAnsi="仿宋_GB2312" w:eastAsia="仿宋_GB2312" w:cs="HiddenHorzOCR"/>
          <w:sz w:val="32"/>
          <w:szCs w:val="32"/>
          <w:lang w:val="en-US" w:eastAsia="zh-CN"/>
        </w:rPr>
        <w:t>按《韶关市山水林田湖草生态保护修复试点工程项目绩效考评办法》指标体系，自评最终得分</w:t>
      </w:r>
      <w:r>
        <w:rPr>
          <w:rFonts w:hint="eastAsia" w:ascii="仿宋_GB2312" w:hAnsi="仿宋_GB2312" w:cs="HiddenHorzOCR"/>
          <w:sz w:val="32"/>
          <w:szCs w:val="32"/>
          <w:lang w:val="en-US" w:eastAsia="zh-CN"/>
        </w:rPr>
        <w:t>92</w:t>
      </w:r>
      <w:bookmarkStart w:id="1" w:name="_GoBack"/>
      <w:bookmarkEnd w:id="1"/>
      <w:r>
        <w:rPr>
          <w:rFonts w:hint="eastAsia" w:ascii="仿宋_GB2312" w:hAnsi="仿宋_GB2312" w:eastAsia="仿宋_GB2312" w:cs="HiddenHorzOCR"/>
          <w:sz w:val="32"/>
          <w:szCs w:val="32"/>
          <w:lang w:val="en-US" w:eastAsia="zh-CN"/>
        </w:rPr>
        <w:t>分，属于“</w:t>
      </w:r>
      <w:r>
        <w:rPr>
          <w:rFonts w:hint="eastAsia" w:ascii="仿宋_GB2312" w:hAnsi="仿宋_GB2312" w:cs="HiddenHorzOCR"/>
          <w:sz w:val="32"/>
          <w:szCs w:val="32"/>
          <w:lang w:val="en-US" w:eastAsia="zh-CN"/>
        </w:rPr>
        <w:t>优</w:t>
      </w:r>
      <w:r>
        <w:rPr>
          <w:rFonts w:hint="eastAsia" w:ascii="仿宋_GB2312" w:hAnsi="仿宋_GB2312" w:eastAsia="仿宋_GB2312" w:cs="HiddenHorzOCR"/>
          <w:sz w:val="32"/>
          <w:szCs w:val="32"/>
          <w:lang w:val="en-US" w:eastAsia="zh-CN"/>
        </w:rPr>
        <w:t>”。</w:t>
      </w:r>
    </w:p>
    <w:p>
      <w:pPr>
        <w:autoSpaceDE w:val="0"/>
        <w:autoSpaceDN w:val="0"/>
        <w:adjustRightInd w:val="0"/>
        <w:spacing w:line="560" w:lineRule="exact"/>
        <w:jc w:val="left"/>
        <w:rPr>
          <w:rFonts w:ascii="黑体" w:hAnsi="黑体" w:eastAsia="黑体" w:cs="HiddenHorzOCR"/>
        </w:rPr>
      </w:pPr>
      <w:r>
        <w:rPr>
          <w:rFonts w:hint="eastAsia" w:ascii="黑体" w:hAnsi="宋体" w:eastAsia="黑体" w:cs="宋体"/>
        </w:rPr>
        <w:t>四</w:t>
      </w:r>
      <w:r>
        <w:rPr>
          <w:rFonts w:hint="eastAsia" w:ascii="黑体" w:hAnsi="黑体" w:eastAsia="黑体" w:cs="HiddenHorzOCR"/>
        </w:rPr>
        <w:t>、</w:t>
      </w:r>
      <w:r>
        <w:rPr>
          <w:rFonts w:hint="eastAsia" w:ascii="黑体" w:hAnsi="宋体" w:eastAsia="黑体" w:cs="宋体"/>
        </w:rPr>
        <w:t>绩效</w:t>
      </w:r>
      <w:r>
        <w:rPr>
          <w:rFonts w:hint="eastAsia" w:ascii="黑体" w:hAnsi="MS Mincho" w:eastAsia="黑体" w:cs="MS Mincho"/>
        </w:rPr>
        <w:t>目</w:t>
      </w:r>
      <w:r>
        <w:rPr>
          <w:rFonts w:hint="eastAsia" w:ascii="黑体" w:hAnsi="宋体" w:eastAsia="黑体" w:cs="宋体"/>
        </w:rPr>
        <w:t>标实现</w:t>
      </w:r>
      <w:r>
        <w:rPr>
          <w:rFonts w:hint="eastAsia" w:ascii="黑体" w:hAnsi="MS Mincho" w:eastAsia="黑体" w:cs="MS Mincho"/>
        </w:rPr>
        <w:t>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（一）项目资金情况分析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1.项目资金到位情况分析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已</w:t>
      </w:r>
      <w:r>
        <w:rPr>
          <w:rFonts w:hint="eastAsia" w:ascii="仿宋_GB2312" w:hAnsi="仿宋_GB2312" w:eastAsia="仿宋_GB2312" w:cs="HiddenHorzOCR"/>
          <w:sz w:val="32"/>
          <w:szCs w:val="32"/>
        </w:rPr>
        <w:t>按照</w:t>
      </w:r>
      <w:r>
        <w:rPr>
          <w:rFonts w:hint="eastAsia" w:ascii="仿宋" w:hAnsi="仿宋" w:eastAsia="仿宋" w:cstheme="minorBidi"/>
          <w:color w:val="000000" w:themeColor="text1"/>
          <w:sz w:val="32"/>
          <w:szCs w:val="32"/>
          <w14:textFill>
            <w14:solidFill>
              <w14:schemeClr w14:val="tx1"/>
            </w14:solidFill>
          </w14:textFill>
        </w:rPr>
        <w:t>《广东粤北南岭山区山水林田湖草生态保护修复试点实施方案（2018-2021年）》</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北江流域森林生态资源有害生物防治项目（翁源县2021年病枯死松树清理除治项目）</w:t>
      </w:r>
      <w:r>
        <w:rPr>
          <w:rFonts w:hint="eastAsia" w:ascii="仿宋_GB2312" w:hAnsi="仿宋_GB2312" w:cs="HiddenHorzOCR"/>
          <w:sz w:val="32"/>
          <w:szCs w:val="32"/>
          <w:lang w:val="en-US" w:eastAsia="zh-CN"/>
        </w:rPr>
        <w:t>作业设计</w:t>
      </w:r>
      <w:r>
        <w:rPr>
          <w:rFonts w:hint="eastAsia" w:ascii="仿宋" w:hAnsi="仿宋" w:eastAsia="仿宋" w:cstheme="minorBidi"/>
          <w:color w:val="000000" w:themeColor="text1"/>
          <w:sz w:val="32"/>
          <w:szCs w:val="32"/>
          <w:lang w:eastAsia="zh-CN"/>
          <w14:textFill>
            <w14:solidFill>
              <w14:schemeClr w14:val="tx1"/>
            </w14:solidFill>
          </w14:textFill>
        </w:rPr>
        <w:t>》等</w:t>
      </w:r>
      <w:r>
        <w:rPr>
          <w:rFonts w:hint="eastAsia" w:ascii="仿宋_GB2312" w:hAnsi="仿宋_GB2312" w:eastAsia="仿宋_GB2312" w:cs="HiddenHorzOCR"/>
          <w:sz w:val="32"/>
          <w:szCs w:val="32"/>
        </w:rPr>
        <w:t>相关规定</w:t>
      </w:r>
      <w:r>
        <w:rPr>
          <w:rFonts w:hint="eastAsia" w:ascii="仿宋_GB2312" w:hAnsi="仿宋_GB2312" w:cs="HiddenHorzOCR"/>
          <w:sz w:val="32"/>
          <w:szCs w:val="32"/>
          <w:lang w:eastAsia="zh-CN"/>
        </w:rPr>
        <w:t>和计划</w:t>
      </w:r>
      <w:r>
        <w:rPr>
          <w:rFonts w:hint="eastAsia" w:ascii="仿宋_GB2312" w:hAnsi="仿宋_GB2312" w:eastAsia="仿宋_GB2312" w:cs="HiddenHorzOCR"/>
          <w:sz w:val="32"/>
          <w:szCs w:val="32"/>
          <w:lang w:eastAsia="zh-CN"/>
        </w:rPr>
        <w:t>，</w:t>
      </w:r>
      <w:r>
        <w:rPr>
          <w:rFonts w:hint="eastAsia" w:ascii="仿宋_GB2312" w:hAnsi="仿宋_GB2312" w:cs="HiddenHorzOCR"/>
          <w:sz w:val="32"/>
          <w:szCs w:val="32"/>
          <w:lang w:eastAsia="zh-CN"/>
        </w:rPr>
        <w:t>有序开展各阶段工作，现阶段进行</w:t>
      </w:r>
      <w:r>
        <w:rPr>
          <w:rFonts w:hint="eastAsia" w:ascii="仿宋_GB2312" w:hAnsi="仿宋_GB2312" w:cs="HiddenHorzOCR"/>
          <w:sz w:val="32"/>
          <w:szCs w:val="32"/>
          <w:lang w:val="en-US" w:eastAsia="zh-CN"/>
        </w:rPr>
        <w:t>施工</w:t>
      </w:r>
      <w:r>
        <w:rPr>
          <w:rFonts w:hint="eastAsia" w:ascii="仿宋_GB2312" w:hAnsi="仿宋_GB2312" w:cs="HiddenHorzOCR"/>
          <w:sz w:val="32"/>
          <w:szCs w:val="32"/>
          <w:lang w:eastAsia="zh-CN"/>
        </w:rPr>
        <w:t>工作，</w:t>
      </w:r>
      <w:r>
        <w:rPr>
          <w:rFonts w:hint="eastAsia" w:ascii="仿宋_GB2312" w:hAnsi="仿宋_GB2312" w:eastAsia="仿宋_GB2312" w:cs="HiddenHorzOCR"/>
          <w:sz w:val="32"/>
          <w:szCs w:val="32"/>
        </w:rPr>
        <w:t>中央补助资金</w:t>
      </w:r>
      <w:r>
        <w:rPr>
          <w:rFonts w:hint="eastAsia" w:ascii="仿宋_GB2312" w:hAnsi="仿宋_GB2312" w:cs="HiddenHorzOCR"/>
          <w:sz w:val="32"/>
          <w:szCs w:val="32"/>
          <w:lang w:val="en-US" w:eastAsia="zh-CN"/>
        </w:rPr>
        <w:t xml:space="preserve">已拨付到位 </w:t>
      </w:r>
      <w:r>
        <w:rPr>
          <w:rFonts w:hint="eastAsia" w:ascii="仿宋_GB2312" w:hAnsi="仿宋_GB2312" w:eastAsia="仿宋_GB2312" w:cs="HiddenHorzOCR"/>
          <w:sz w:val="32"/>
          <w:szCs w:val="32"/>
          <w:lang w:eastAsia="zh-CN"/>
        </w:rPr>
        <w:t>。</w:t>
      </w:r>
    </w:p>
    <w:p>
      <w:pPr>
        <w:numPr>
          <w:ilvl w:val="0"/>
          <w:numId w:val="3"/>
        </w:num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项目资金执行情况分析</w:t>
      </w:r>
    </w:p>
    <w:p>
      <w:pPr>
        <w:autoSpaceDE w:val="0"/>
        <w:autoSpaceDN w:val="0"/>
        <w:adjustRightInd w:val="0"/>
        <w:spacing w:line="560" w:lineRule="exact"/>
        <w:ind w:firstLine="632" w:firstLineChars="200"/>
        <w:jc w:val="left"/>
        <w:rPr>
          <w:rFonts w:hint="default" w:ascii="仿宋_GB2312" w:hAnsi="仿宋_GB2312" w:eastAsia="仿宋_GB2312" w:cs="HiddenHorzOCR"/>
          <w:color w:val="000000"/>
          <w:sz w:val="32"/>
          <w:szCs w:val="32"/>
          <w:lang w:val="en-US" w:eastAsia="zh-CN"/>
        </w:rPr>
      </w:pPr>
      <w:r>
        <w:rPr>
          <w:rFonts w:hint="eastAsia" w:ascii="仿宋_GB2312" w:hAnsi="仿宋_GB2312" w:eastAsia="仿宋_GB2312" w:cs="HiddenHorzOCR"/>
          <w:color w:val="000000"/>
          <w:sz w:val="32"/>
          <w:szCs w:val="32"/>
          <w:lang w:val="en-US" w:eastAsia="zh-CN"/>
        </w:rPr>
        <w:t>根据</w:t>
      </w:r>
      <w:r>
        <w:rPr>
          <w:rFonts w:hint="eastAsia" w:ascii="仿宋_GB2312" w:hAnsi="仿宋_GB2312" w:eastAsia="仿宋_GB2312" w:cs="HiddenHorzOCR"/>
          <w:color w:val="000000"/>
          <w:sz w:val="32"/>
          <w:szCs w:val="32"/>
          <w:lang w:eastAsia="zh-CN"/>
        </w:rPr>
        <w:t>翁源县《广东粤北南岭山区山水林田湖草生态保护修复试点工程中央奖补资金支持项目实施进度挂图作战表》</w:t>
      </w:r>
      <w:r>
        <w:rPr>
          <w:rFonts w:hint="eastAsia" w:ascii="仿宋_GB2312" w:hAnsi="仿宋_GB2312" w:eastAsia="仿宋_GB2312" w:cs="HiddenHorzOCR"/>
          <w:color w:val="000000"/>
          <w:sz w:val="32"/>
          <w:szCs w:val="32"/>
          <w:lang w:val="en-US" w:eastAsia="zh-CN"/>
        </w:rPr>
        <w:t>，按时间节点推进各项工作，任务和资金均符合工作方案要求。</w:t>
      </w:r>
    </w:p>
    <w:p>
      <w:pPr>
        <w:numPr>
          <w:ilvl w:val="0"/>
          <w:numId w:val="3"/>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项目资金管理情况分析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严格按照</w:t>
      </w:r>
      <w:r>
        <w:rPr>
          <w:rFonts w:hint="eastAsia" w:ascii="仿宋_GB2312" w:hAnsi="仿宋_GB2312" w:eastAsia="仿宋_GB2312" w:cs="HiddenHorzOCR"/>
          <w:sz w:val="32"/>
          <w:szCs w:val="32"/>
        </w:rPr>
        <w:t>《韶关市山水林田湖草生态保护修复试点资金筹集使用管理操作细则》</w:t>
      </w:r>
      <w:r>
        <w:rPr>
          <w:rFonts w:hint="eastAsia" w:ascii="仿宋_GB2312" w:hAnsi="仿宋_GB2312" w:eastAsia="仿宋_GB2312" w:cs="HiddenHorzOCR"/>
          <w:sz w:val="32"/>
          <w:szCs w:val="32"/>
          <w:lang w:eastAsia="zh-CN"/>
        </w:rPr>
        <w:t>执行，</w:t>
      </w:r>
      <w:r>
        <w:rPr>
          <w:rFonts w:hint="eastAsia" w:ascii="仿宋_GB2312" w:hAnsi="仿宋_GB2312" w:eastAsia="仿宋_GB2312" w:cs="HiddenHorzOCR"/>
          <w:sz w:val="32"/>
          <w:szCs w:val="32"/>
        </w:rPr>
        <w:t>资金使用符合有关法律和国家、省有关制度规定，治理成本合理</w:t>
      </w:r>
      <w:r>
        <w:rPr>
          <w:rFonts w:hint="eastAsia" w:ascii="仿宋_GB2312" w:hAnsi="仿宋_GB2312" w:eastAsia="仿宋_GB2312" w:cs="HiddenHorzOCR"/>
          <w:sz w:val="32"/>
          <w:szCs w:val="32"/>
          <w:lang w:eastAsia="zh-CN"/>
        </w:rPr>
        <w:t>。</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（二）项目绩效指标完成情况分析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1.推进力度完成情况分析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（1）协调推进情况分析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rPr>
      </w:pPr>
      <w:r>
        <w:rPr>
          <w:rFonts w:hint="eastAsia" w:ascii="仿宋_GB2312" w:hAnsi="仿宋_GB2312" w:eastAsia="仿宋_GB2312" w:cs="HiddenHorzOCR"/>
          <w:sz w:val="32"/>
          <w:szCs w:val="32"/>
        </w:rPr>
        <w:t>县（市、区）人民政府成立领导小组，统筹协调推进工作，结合地方实际，制定管理办法等制度</w:t>
      </w:r>
      <w:r>
        <w:rPr>
          <w:rFonts w:hint="eastAsia" w:ascii="仿宋_GB2312" w:hAnsi="仿宋_GB2312" w:eastAsia="仿宋_GB2312" w:cs="HiddenHorzOCR"/>
          <w:sz w:val="32"/>
          <w:szCs w:val="32"/>
          <w:lang w:eastAsia="zh-CN"/>
        </w:rPr>
        <w:t>，</w:t>
      </w:r>
      <w:r>
        <w:rPr>
          <w:rFonts w:hint="eastAsia" w:ascii="仿宋_GB2312" w:hAnsi="仿宋_GB2312" w:eastAsia="仿宋_GB2312" w:cs="HiddenHorzOCR"/>
          <w:sz w:val="32"/>
          <w:szCs w:val="32"/>
        </w:rPr>
        <w:t>领导小组和责任单位各司其职，做好相关工作。</w:t>
      </w:r>
    </w:p>
    <w:p>
      <w:pPr>
        <w:numPr>
          <w:ilvl w:val="0"/>
          <w:numId w:val="4"/>
        </w:num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资金保障情况分析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按照相关规定及时拨付中央补助资金，对接省级财政专项资金，及其他财政资金满足本地区年度投资任务，发挥各渠道资金协同投入效应，资金分配符合国家和省有关资金管理办法的要求，</w:t>
      </w:r>
    </w:p>
    <w:p>
      <w:pPr>
        <w:numPr>
          <w:ilvl w:val="0"/>
          <w:numId w:val="4"/>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监督管理情况分析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定期开展督查检查等监管工作，</w:t>
      </w:r>
      <w:r>
        <w:rPr>
          <w:rFonts w:hint="eastAsia" w:ascii="仿宋_GB2312" w:hAnsi="仿宋_GB2312" w:cs="HiddenHorzOCR"/>
          <w:sz w:val="32"/>
          <w:szCs w:val="32"/>
          <w:lang w:eastAsia="zh-CN"/>
        </w:rPr>
        <w:t>在配合上级主管部门监督检查的同时，县修复办不定期对项目进行检查，</w:t>
      </w:r>
      <w:r>
        <w:rPr>
          <w:rFonts w:hint="eastAsia" w:ascii="仿宋_GB2312" w:hAnsi="仿宋_GB2312" w:eastAsia="仿宋_GB2312" w:cs="HiddenHorzOCR"/>
          <w:sz w:val="32"/>
          <w:szCs w:val="32"/>
          <w:lang w:eastAsia="zh-CN"/>
        </w:rPr>
        <w:t>对上级或本级部门监管（督查检查、情况通报等）发现问题及时整改。</w:t>
      </w:r>
    </w:p>
    <w:p>
      <w:pPr>
        <w:numPr>
          <w:ilvl w:val="0"/>
          <w:numId w:val="4"/>
        </w:numPr>
        <w:autoSpaceDE w:val="0"/>
        <w:autoSpaceDN w:val="0"/>
        <w:adjustRightInd w:val="0"/>
        <w:spacing w:line="560" w:lineRule="exact"/>
        <w:ind w:left="0" w:leftChars="0" w:firstLine="632" w:firstLineChars="200"/>
        <w:jc w:val="left"/>
        <w:rPr>
          <w:rFonts w:hint="eastAsia" w:ascii="仿宋_GB2312" w:hAnsi="仿宋_GB2312" w:cs="HiddenHorzOCR"/>
          <w:szCs w:val="32"/>
        </w:rPr>
      </w:pPr>
      <w:r>
        <w:rPr>
          <w:rFonts w:hint="eastAsia" w:ascii="仿宋_GB2312" w:hAnsi="仿宋_GB2312" w:cs="HiddenHorzOCR"/>
          <w:szCs w:val="32"/>
        </w:rPr>
        <w:t>信息报送情况分析</w:t>
      </w:r>
    </w:p>
    <w:p>
      <w:pPr>
        <w:numPr>
          <w:ilvl w:val="0"/>
          <w:numId w:val="0"/>
        </w:num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仿宋_GB2312" w:eastAsia="仿宋_GB2312" w:cs="HiddenHorzOCR"/>
          <w:sz w:val="32"/>
          <w:szCs w:val="32"/>
          <w:lang w:eastAsia="zh-CN"/>
        </w:rPr>
        <w:t>按规定时间，提交绩效目标任务和绩效自评材料，按照市修复办要求，在工程管理信息系统中，及时报送绩效情况、建设进度、资金筹措使用等有关信息材料。</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（5）创新示范情况分析</w:t>
      </w:r>
    </w:p>
    <w:p>
      <w:pPr>
        <w:numPr>
          <w:ilvl w:val="0"/>
          <w:numId w:val="0"/>
        </w:numPr>
        <w:autoSpaceDE w:val="0"/>
        <w:autoSpaceDN w:val="0"/>
        <w:adjustRightInd w:val="0"/>
        <w:spacing w:line="560" w:lineRule="exact"/>
        <w:ind w:firstLine="632" w:firstLineChars="200"/>
        <w:jc w:val="left"/>
        <w:rPr>
          <w:rFonts w:hint="eastAsia" w:ascii="仿宋_GB2312" w:hAnsi="仿宋_GB2312" w:eastAsia="仿宋_GB2312" w:cs="HiddenHorzOCR"/>
          <w:szCs w:val="32"/>
          <w:lang w:eastAsia="zh-CN"/>
        </w:rPr>
      </w:pPr>
      <w:r>
        <w:rPr>
          <w:rFonts w:hint="eastAsia" w:ascii="仿宋_GB2312" w:hAnsi="仿宋_GB2312" w:cs="HiddenHorzOCR"/>
          <w:szCs w:val="32"/>
        </w:rPr>
        <w:t>广东粤北南岭山区</w:t>
      </w:r>
      <w:r>
        <w:rPr>
          <w:rFonts w:hint="eastAsia" w:ascii="仿宋_GB2312" w:hAnsi="仿宋_GB2312" w:cs="HiddenHorzOCR"/>
          <w:szCs w:val="32"/>
          <w:lang w:eastAsia="zh-CN"/>
        </w:rPr>
        <w:t>生态环境保护修复工作</w:t>
      </w:r>
      <w:r>
        <w:rPr>
          <w:rFonts w:hint="eastAsia" w:ascii="仿宋_GB2312" w:hAnsi="仿宋_GB2312" w:cs="HiddenHorzOCR"/>
          <w:szCs w:val="32"/>
          <w:lang w:val="en-US" w:eastAsia="zh-CN"/>
        </w:rPr>
        <w:t>已纳入国家生态文明建设和生态环境保护相关重要规划和试点，</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北江流域森林生态资源有害生物防治项目（翁源县2021年病枯死松树清理除治项目）</w:t>
      </w:r>
      <w:r>
        <w:rPr>
          <w:rFonts w:hint="eastAsia" w:ascii="仿宋_GB2312" w:hAnsi="仿宋_GB2312" w:cs="HiddenHorzOCR"/>
          <w:sz w:val="32"/>
          <w:szCs w:val="32"/>
          <w:lang w:val="en-US" w:eastAsia="zh-CN"/>
        </w:rPr>
        <w:t>作业设计</w:t>
      </w:r>
      <w:r>
        <w:rPr>
          <w:rFonts w:hint="eastAsia" w:ascii="仿宋" w:hAnsi="仿宋" w:eastAsia="仿宋" w:cstheme="minorBidi"/>
          <w:color w:val="000000" w:themeColor="text1"/>
          <w:sz w:val="32"/>
          <w:szCs w:val="32"/>
          <w:lang w:eastAsia="zh-CN"/>
          <w14:textFill>
            <w14:solidFill>
              <w14:schemeClr w14:val="tx1"/>
            </w14:solidFill>
          </w14:textFill>
        </w:rPr>
        <w:t>》在总结以往治理经验的基础上，</w:t>
      </w:r>
      <w:r>
        <w:rPr>
          <w:rFonts w:hint="eastAsia" w:ascii="仿宋_GB2312" w:hAnsi="仿宋_GB2312" w:eastAsia="仿宋_GB2312" w:cs="HiddenHorzOCR"/>
          <w:sz w:val="32"/>
          <w:szCs w:val="32"/>
          <w:lang w:eastAsia="zh-CN"/>
        </w:rPr>
        <w:t>及时分析总结项目实施中创新推进机制先进做法，总结提炼可复制可推广的项目经验和亮点。</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2.项目效益指</w:t>
      </w:r>
      <w:r>
        <w:rPr>
          <w:rFonts w:hint="eastAsia" w:ascii="仿宋_GB2312" w:hAnsi="宋体" w:cs="宋体"/>
          <w:szCs w:val="32"/>
        </w:rPr>
        <w:t>标</w:t>
      </w:r>
      <w:r>
        <w:rPr>
          <w:rFonts w:hint="eastAsia" w:ascii="仿宋_GB2312" w:hAnsi="MS Mincho" w:cs="MS Mincho"/>
          <w:szCs w:val="32"/>
        </w:rPr>
        <w:t>完成情况分析</w:t>
      </w:r>
    </w:p>
    <w:p>
      <w:pPr>
        <w:autoSpaceDE w:val="0"/>
        <w:autoSpaceDN w:val="0"/>
        <w:adjustRightInd w:val="0"/>
        <w:spacing w:line="560" w:lineRule="exact"/>
        <w:ind w:firstLine="632" w:firstLineChars="200"/>
        <w:jc w:val="left"/>
        <w:rPr>
          <w:rFonts w:hint="eastAsia" w:ascii="仿宋_GB2312" w:hAnsi="仿宋_GB2312" w:cs="HiddenHorzOCR"/>
          <w:szCs w:val="32"/>
        </w:rPr>
      </w:pPr>
      <w:r>
        <w:rPr>
          <w:rFonts w:hint="eastAsia" w:ascii="仿宋_GB2312" w:hAnsi="仿宋_GB2312" w:cs="HiddenHorzOCR"/>
          <w:szCs w:val="32"/>
        </w:rPr>
        <w:t>（1）项目进度情况分析</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eastAsia="仿宋_GB2312" w:cs="HiddenHorzOCR"/>
          <w:sz w:val="32"/>
          <w:szCs w:val="32"/>
          <w:lang w:eastAsia="zh-CN"/>
        </w:rPr>
        <w:t>项目进度按</w:t>
      </w:r>
      <w:r>
        <w:rPr>
          <w:rFonts w:hint="eastAsia" w:ascii="仿宋" w:hAnsi="仿宋" w:eastAsia="仿宋" w:cstheme="minorBidi"/>
          <w:color w:val="000000" w:themeColor="text1"/>
          <w:sz w:val="32"/>
          <w:szCs w:val="32"/>
          <w14:textFill>
            <w14:solidFill>
              <w14:schemeClr w14:val="tx1"/>
            </w14:solidFill>
          </w14:textFill>
        </w:rPr>
        <w:t>《广东粤北南岭山区山水林田湖草生态保护修复试点实施方案（2018-2021年）》</w:t>
      </w:r>
      <w:r>
        <w:rPr>
          <w:rFonts w:hint="eastAsia" w:ascii="仿宋" w:hAnsi="仿宋" w:eastAsia="仿宋" w:cstheme="minorBidi"/>
          <w:color w:val="000000" w:themeColor="text1"/>
          <w:sz w:val="32"/>
          <w:szCs w:val="32"/>
          <w:lang w:eastAsia="zh-CN"/>
          <w14:textFill>
            <w14:solidFill>
              <w14:schemeClr w14:val="tx1"/>
            </w14:solidFill>
          </w14:textFill>
        </w:rPr>
        <w:t>和《</w:t>
      </w:r>
      <w:r>
        <w:rPr>
          <w:rFonts w:hint="eastAsia" w:ascii="仿宋_GB2312" w:hAnsi="仿宋_GB2312" w:eastAsia="仿宋_GB2312" w:cs="HiddenHorzOCR"/>
          <w:sz w:val="32"/>
          <w:szCs w:val="32"/>
          <w:lang w:val="en-US" w:eastAsia="zh-CN"/>
        </w:rPr>
        <w:t>北江流域森林生态资源有害生物防治项目（翁源县2021年病枯死松树清理除治项目）作业设计</w:t>
      </w:r>
      <w:r>
        <w:rPr>
          <w:rFonts w:hint="eastAsia" w:ascii="仿宋" w:hAnsi="仿宋" w:eastAsia="仿宋" w:cstheme="minorBidi"/>
          <w:color w:val="000000" w:themeColor="text1"/>
          <w:sz w:val="32"/>
          <w:szCs w:val="32"/>
          <w:lang w:eastAsia="zh-CN"/>
          <w14:textFill>
            <w14:solidFill>
              <w14:schemeClr w14:val="tx1"/>
            </w14:solidFill>
          </w14:textFill>
        </w:rPr>
        <w:t>》推进，确保在</w:t>
      </w:r>
      <w:r>
        <w:rPr>
          <w:rFonts w:hint="eastAsia" w:ascii="仿宋" w:hAnsi="仿宋" w:eastAsia="仿宋" w:cstheme="minorBidi"/>
          <w:color w:val="000000" w:themeColor="text1"/>
          <w:sz w:val="32"/>
          <w:szCs w:val="32"/>
          <w:lang w:val="en-US" w:eastAsia="zh-CN"/>
          <w14:textFill>
            <w14:solidFill>
              <w14:schemeClr w14:val="tx1"/>
            </w14:solidFill>
          </w14:textFill>
        </w:rPr>
        <w:t>2021年完成全部绩效目标。</w:t>
      </w:r>
    </w:p>
    <w:p>
      <w:pPr>
        <w:autoSpaceDE w:val="0"/>
        <w:autoSpaceDN w:val="0"/>
        <w:adjustRightInd w:val="0"/>
        <w:spacing w:line="560" w:lineRule="exact"/>
        <w:ind w:firstLine="632" w:firstLineChars="200"/>
        <w:jc w:val="left"/>
        <w:rPr>
          <w:rFonts w:ascii="仿宋_GB2312" w:hAnsi="仿宋_GB2312" w:cs="HiddenHorzOCR"/>
          <w:szCs w:val="32"/>
        </w:rPr>
      </w:pPr>
      <w:r>
        <w:rPr>
          <w:rFonts w:hint="eastAsia" w:ascii="仿宋_GB2312" w:hAnsi="仿宋_GB2312" w:cs="HiddenHorzOCR"/>
          <w:szCs w:val="32"/>
        </w:rPr>
        <w:t>（2）绩效目标情况分析</w:t>
      </w:r>
    </w:p>
    <w:p>
      <w:pPr>
        <w:autoSpaceDE w:val="0"/>
        <w:autoSpaceDN w:val="0"/>
        <w:adjustRightInd w:val="0"/>
        <w:spacing w:line="560" w:lineRule="exact"/>
        <w:ind w:firstLine="632" w:firstLineChars="200"/>
        <w:jc w:val="left"/>
        <w:rPr>
          <w:rFonts w:hint="eastAsia" w:ascii="仿宋_GB2312" w:hAnsi="仿宋_GB2312" w:eastAsia="仿宋_GB2312" w:cs="HiddenHorzOCR"/>
          <w:sz w:val="32"/>
          <w:szCs w:val="32"/>
          <w:lang w:eastAsia="zh-CN"/>
        </w:rPr>
      </w:pPr>
      <w:r>
        <w:rPr>
          <w:rFonts w:hint="eastAsia" w:ascii="仿宋_GB2312" w:hAnsi="MS Mincho" w:eastAsia="仿宋_GB2312" w:cs="MS Mincho"/>
          <w:sz w:val="32"/>
          <w:szCs w:val="32"/>
          <w:lang w:eastAsia="zh-CN"/>
        </w:rPr>
        <w:t>按照</w:t>
      </w:r>
      <w:r>
        <w:rPr>
          <w:rFonts w:hint="eastAsia" w:ascii="仿宋" w:hAnsi="仿宋" w:eastAsia="仿宋" w:cstheme="minorBidi"/>
          <w:color w:val="000000" w:themeColor="text1"/>
          <w:sz w:val="32"/>
          <w:szCs w:val="32"/>
          <w:lang w:eastAsia="zh-CN"/>
          <w14:textFill>
            <w14:solidFill>
              <w14:schemeClr w14:val="tx1"/>
            </w14:solidFill>
          </w14:textFill>
        </w:rPr>
        <w:t>《</w:t>
      </w:r>
      <w:r>
        <w:rPr>
          <w:rFonts w:hint="eastAsia" w:ascii="仿宋_GB2312" w:hAnsi="仿宋_GB2312" w:eastAsia="仿宋_GB2312" w:cs="HiddenHorzOCR"/>
          <w:sz w:val="32"/>
          <w:szCs w:val="32"/>
          <w:lang w:val="en-US" w:eastAsia="zh-CN"/>
        </w:rPr>
        <w:t>北江流域森林生态资源有害生物防治项目（翁源县2021年病枯死松树清理除治项目）</w:t>
      </w:r>
      <w:r>
        <w:rPr>
          <w:rFonts w:hint="eastAsia" w:ascii="仿宋" w:hAnsi="仿宋" w:eastAsia="仿宋" w:cstheme="minorBidi"/>
          <w:color w:val="000000" w:themeColor="text1"/>
          <w:sz w:val="32"/>
          <w:szCs w:val="32"/>
          <w:lang w:eastAsia="zh-CN"/>
          <w14:textFill>
            <w14:solidFill>
              <w14:schemeClr w14:val="tx1"/>
            </w14:solidFill>
          </w14:textFill>
        </w:rPr>
        <w:t>》，各项工作开展后可达到</w:t>
      </w:r>
      <w:r>
        <w:rPr>
          <w:rFonts w:hint="eastAsia" w:ascii="仿宋_GB2312" w:hAnsi="MS Mincho" w:eastAsia="仿宋_GB2312" w:cs="MS Mincho"/>
          <w:sz w:val="32"/>
          <w:szCs w:val="32"/>
        </w:rPr>
        <w:t>绩效目标</w:t>
      </w:r>
      <w:r>
        <w:rPr>
          <w:rFonts w:hint="eastAsia" w:ascii="仿宋_GB2312" w:hAnsi="MS Mincho" w:eastAsia="仿宋_GB2312" w:cs="MS Mincho"/>
          <w:sz w:val="32"/>
          <w:szCs w:val="32"/>
          <w:lang w:eastAsia="zh-CN"/>
        </w:rPr>
        <w:t>：</w:t>
      </w:r>
      <w:r>
        <w:rPr>
          <w:rFonts w:hint="eastAsia" w:ascii="仿宋_GB2312" w:hAnsi="仿宋_GB2312" w:eastAsia="仿宋_GB2312" w:cs="HiddenHorzOCR"/>
          <w:sz w:val="32"/>
          <w:szCs w:val="32"/>
          <w:lang w:val="en-US" w:eastAsia="zh-CN"/>
        </w:rPr>
        <w:t>完成清理病疫树10000株。</w:t>
      </w:r>
    </w:p>
    <w:p>
      <w:pPr>
        <w:numPr>
          <w:ilvl w:val="0"/>
          <w:numId w:val="0"/>
        </w:numPr>
        <w:autoSpaceDE w:val="0"/>
        <w:autoSpaceDN w:val="0"/>
        <w:adjustRightInd w:val="0"/>
        <w:spacing w:line="560" w:lineRule="exact"/>
        <w:ind w:leftChars="0"/>
        <w:jc w:val="left"/>
        <w:rPr>
          <w:rFonts w:hint="eastAsia" w:ascii="黑体" w:hAnsi="MS Mincho" w:eastAsia="黑体" w:cs="MS Mincho"/>
        </w:rPr>
      </w:pPr>
      <w:r>
        <w:rPr>
          <w:rFonts w:hint="eastAsia" w:ascii="黑体" w:hAnsi="宋体" w:eastAsia="黑体" w:cs="宋体"/>
          <w:lang w:eastAsia="zh-CN"/>
        </w:rPr>
        <w:t>五、</w:t>
      </w:r>
      <w:r>
        <w:rPr>
          <w:rFonts w:hint="eastAsia" w:ascii="黑体" w:hAnsi="宋体" w:eastAsia="黑体" w:cs="宋体"/>
        </w:rPr>
        <w:t>绩</w:t>
      </w:r>
      <w:r>
        <w:rPr>
          <w:rFonts w:hint="eastAsia" w:ascii="黑体" w:hAnsi="MS Mincho" w:eastAsia="黑体" w:cs="MS Mincho"/>
        </w:rPr>
        <w:t>效目</w:t>
      </w:r>
      <w:r>
        <w:rPr>
          <w:rFonts w:hint="eastAsia" w:ascii="黑体" w:hAnsi="宋体" w:eastAsia="黑体" w:cs="宋体"/>
        </w:rPr>
        <w:t>标</w:t>
      </w:r>
      <w:r>
        <w:rPr>
          <w:rFonts w:hint="eastAsia" w:ascii="黑体" w:hAnsi="MS Mincho" w:eastAsia="黑体" w:cs="MS Mincho"/>
        </w:rPr>
        <w:t>未完成原因和下一</w:t>
      </w:r>
      <w:r>
        <w:rPr>
          <w:rFonts w:hint="eastAsia" w:ascii="黑体" w:hAnsi="宋体" w:eastAsia="黑体" w:cs="宋体"/>
        </w:rPr>
        <w:t>步</w:t>
      </w:r>
      <w:r>
        <w:rPr>
          <w:rFonts w:hint="eastAsia" w:ascii="黑体" w:hAnsi="MS Mincho" w:eastAsia="黑体" w:cs="MS Mincho"/>
        </w:rPr>
        <w:t>改</w:t>
      </w:r>
      <w:r>
        <w:rPr>
          <w:rFonts w:hint="eastAsia" w:ascii="黑体" w:hAnsi="宋体" w:eastAsia="黑体" w:cs="宋体"/>
        </w:rPr>
        <w:t>进</w:t>
      </w:r>
      <w:r>
        <w:rPr>
          <w:rFonts w:hint="eastAsia" w:ascii="黑体" w:hAnsi="MS Mincho" w:eastAsia="黑体" w:cs="MS Mincho"/>
        </w:rPr>
        <w:t>措施</w:t>
      </w:r>
    </w:p>
    <w:p>
      <w:pPr>
        <w:numPr>
          <w:ilvl w:val="0"/>
          <w:numId w:val="0"/>
        </w:numPr>
        <w:autoSpaceDE w:val="0"/>
        <w:autoSpaceDN w:val="0"/>
        <w:adjustRightInd w:val="0"/>
        <w:spacing w:line="560" w:lineRule="exact"/>
        <w:ind w:leftChars="0" w:firstLine="632" w:firstLineChars="200"/>
        <w:jc w:val="left"/>
        <w:rPr>
          <w:rFonts w:hint="eastAsia" w:ascii="黑体" w:hAnsi="MS Mincho" w:eastAsia="黑体" w:cs="MS Mincho"/>
        </w:rPr>
      </w:pPr>
      <w:r>
        <w:rPr>
          <w:rFonts w:hint="eastAsia" w:ascii="仿宋_GB2312" w:hAnsi="MS Mincho" w:cs="MS Mincho"/>
          <w:sz w:val="32"/>
          <w:szCs w:val="32"/>
          <w:lang w:eastAsia="zh-CN"/>
        </w:rPr>
        <w:t>项目预期</w:t>
      </w:r>
      <w:r>
        <w:rPr>
          <w:rFonts w:hint="eastAsia" w:ascii="仿宋_GB2312" w:hAnsi="MS Mincho" w:eastAsia="仿宋_GB2312" w:cs="MS Mincho"/>
          <w:sz w:val="32"/>
          <w:szCs w:val="32"/>
          <w:lang w:eastAsia="zh-CN"/>
        </w:rPr>
        <w:t>可按要求完成</w:t>
      </w:r>
      <w:r>
        <w:rPr>
          <w:rFonts w:hint="eastAsia" w:ascii="仿宋_GB2312" w:hAnsi="MS Mincho" w:cs="MS Mincho"/>
          <w:sz w:val="32"/>
          <w:szCs w:val="32"/>
          <w:lang w:eastAsia="zh-CN"/>
        </w:rPr>
        <w:t>相应</w:t>
      </w:r>
      <w:r>
        <w:rPr>
          <w:rFonts w:hint="eastAsia" w:ascii="仿宋_GB2312" w:hAnsi="MS Mincho" w:eastAsia="仿宋_GB2312" w:cs="MS Mincho"/>
          <w:sz w:val="32"/>
          <w:szCs w:val="32"/>
          <w:lang w:eastAsia="zh-CN"/>
        </w:rPr>
        <w:t>绩效目标</w:t>
      </w:r>
      <w:r>
        <w:rPr>
          <w:rFonts w:hint="eastAsia" w:ascii="仿宋_GB2312" w:hAnsi="MS Mincho" w:cs="MS Mincho"/>
          <w:sz w:val="32"/>
          <w:szCs w:val="32"/>
          <w:lang w:eastAsia="zh-CN"/>
        </w:rPr>
        <w:t>。</w:t>
      </w:r>
    </w:p>
    <w:p>
      <w:pPr>
        <w:numPr>
          <w:ilvl w:val="0"/>
          <w:numId w:val="0"/>
        </w:numPr>
        <w:autoSpaceDE w:val="0"/>
        <w:autoSpaceDN w:val="0"/>
        <w:adjustRightInd w:val="0"/>
        <w:spacing w:line="560" w:lineRule="exact"/>
        <w:ind w:leftChars="0"/>
        <w:jc w:val="left"/>
        <w:rPr>
          <w:rFonts w:hint="eastAsia" w:ascii="黑体" w:hAnsi="宋体" w:eastAsia="黑体" w:cs="宋体"/>
          <w:szCs w:val="25"/>
        </w:rPr>
      </w:pPr>
      <w:r>
        <w:rPr>
          <w:rFonts w:hint="eastAsia" w:ascii="黑体" w:hAnsi="黑体" w:eastAsia="黑体" w:cs="HiddenHorzOCR"/>
          <w:szCs w:val="25"/>
          <w:lang w:eastAsia="zh-CN"/>
        </w:rPr>
        <w:t>六、</w:t>
      </w:r>
      <w:r>
        <w:rPr>
          <w:rFonts w:hint="eastAsia" w:ascii="黑体" w:hAnsi="黑体" w:eastAsia="黑体" w:cs="HiddenHorzOCR"/>
          <w:szCs w:val="25"/>
        </w:rPr>
        <w:t>绩效</w:t>
      </w:r>
      <w:r>
        <w:rPr>
          <w:rFonts w:hint="eastAsia" w:ascii="黑体" w:hAnsi="MS Mincho" w:eastAsia="黑体" w:cs="MS Mincho"/>
          <w:szCs w:val="25"/>
        </w:rPr>
        <w:t>自</w:t>
      </w:r>
      <w:r>
        <w:rPr>
          <w:rFonts w:hint="eastAsia" w:ascii="黑体" w:hAnsi="宋体" w:eastAsia="黑体" w:cs="宋体"/>
          <w:szCs w:val="25"/>
        </w:rPr>
        <w:t>评</w:t>
      </w:r>
      <w:r>
        <w:rPr>
          <w:rFonts w:hint="eastAsia" w:ascii="黑体" w:hAnsi="MS Mincho" w:eastAsia="黑体" w:cs="MS Mincho"/>
          <w:szCs w:val="25"/>
        </w:rPr>
        <w:t>工作的</w:t>
      </w:r>
      <w:r>
        <w:rPr>
          <w:rFonts w:hint="eastAsia" w:ascii="黑体" w:hAnsi="宋体" w:eastAsia="黑体" w:cs="宋体"/>
          <w:szCs w:val="25"/>
        </w:rPr>
        <w:t>经验</w:t>
      </w:r>
      <w:r>
        <w:rPr>
          <w:rFonts w:hint="eastAsia" w:ascii="黑体" w:hAnsi="MS Mincho" w:eastAsia="黑体" w:cs="MS Mincho"/>
          <w:szCs w:val="25"/>
        </w:rPr>
        <w:t>、</w:t>
      </w:r>
      <w:r>
        <w:rPr>
          <w:rFonts w:hint="eastAsia" w:ascii="黑体" w:hAnsi="宋体" w:eastAsia="黑体" w:cs="宋体"/>
          <w:szCs w:val="25"/>
        </w:rPr>
        <w:t>问题</w:t>
      </w:r>
      <w:r>
        <w:rPr>
          <w:rFonts w:hint="eastAsia" w:ascii="黑体" w:hAnsi="MS Mincho" w:eastAsia="黑体" w:cs="MS Mincho"/>
          <w:szCs w:val="25"/>
        </w:rPr>
        <w:t>和建</w:t>
      </w:r>
      <w:r>
        <w:rPr>
          <w:rFonts w:hint="eastAsia" w:ascii="黑体" w:hAnsi="宋体" w:eastAsia="黑体" w:cs="宋体"/>
          <w:szCs w:val="25"/>
        </w:rPr>
        <w:t>议</w:t>
      </w:r>
    </w:p>
    <w:p>
      <w:pPr>
        <w:autoSpaceDE w:val="0"/>
        <w:autoSpaceDN w:val="0"/>
        <w:adjustRightInd w:val="0"/>
        <w:spacing w:line="560" w:lineRule="exact"/>
        <w:ind w:firstLine="632" w:firstLineChars="200"/>
        <w:jc w:val="left"/>
        <w:rPr>
          <w:rFonts w:hint="eastAsia" w:ascii="仿宋_GB2312" w:hAnsi="MS Mincho" w:eastAsia="仿宋_GB2312" w:cs="MS Mincho"/>
          <w:sz w:val="32"/>
          <w:szCs w:val="32"/>
          <w:lang w:eastAsia="zh-CN"/>
        </w:rPr>
      </w:pPr>
      <w:r>
        <w:rPr>
          <w:rFonts w:hint="eastAsia" w:ascii="仿宋_GB2312" w:hAnsi="MS Mincho" w:eastAsia="仿宋_GB2312" w:cs="MS Mincho"/>
          <w:sz w:val="32"/>
          <w:szCs w:val="32"/>
          <w:lang w:eastAsia="zh-CN"/>
        </w:rPr>
        <w:t>问题：绩效自评过程中，</w:t>
      </w:r>
      <w:r>
        <w:rPr>
          <w:rFonts w:hint="eastAsia" w:ascii="仿宋_GB2312" w:hAnsi="MS Mincho" w:cs="MS Mincho"/>
          <w:sz w:val="32"/>
          <w:szCs w:val="32"/>
          <w:lang w:eastAsia="zh-CN"/>
        </w:rPr>
        <w:t>拟定的</w:t>
      </w:r>
      <w:r>
        <w:rPr>
          <w:rFonts w:hint="eastAsia" w:ascii="仿宋_GB2312" w:hAnsi="MS Mincho" w:eastAsia="仿宋_GB2312" w:cs="MS Mincho"/>
          <w:sz w:val="32"/>
          <w:szCs w:val="32"/>
          <w:lang w:eastAsia="zh-CN"/>
        </w:rPr>
        <w:t>部分考核办法</w:t>
      </w:r>
      <w:r>
        <w:rPr>
          <w:rFonts w:hint="eastAsia" w:ascii="仿宋_GB2312" w:hAnsi="MS Mincho" w:cs="MS Mincho"/>
          <w:sz w:val="32"/>
          <w:szCs w:val="32"/>
          <w:lang w:eastAsia="zh-CN"/>
        </w:rPr>
        <w:t>和细则无法量化评价</w:t>
      </w:r>
      <w:r>
        <w:rPr>
          <w:rFonts w:hint="eastAsia" w:ascii="仿宋_GB2312" w:hAnsi="MS Mincho" w:eastAsia="仿宋_GB2312" w:cs="MS Mincho"/>
          <w:sz w:val="32"/>
          <w:szCs w:val="32"/>
          <w:lang w:eastAsia="zh-CN"/>
        </w:rPr>
        <w:t>，需进一步</w:t>
      </w:r>
      <w:r>
        <w:rPr>
          <w:rFonts w:hint="eastAsia" w:ascii="仿宋_GB2312" w:hAnsi="MS Mincho" w:cs="MS Mincho"/>
          <w:sz w:val="32"/>
          <w:szCs w:val="32"/>
          <w:lang w:eastAsia="zh-CN"/>
        </w:rPr>
        <w:t>完善</w:t>
      </w:r>
      <w:r>
        <w:rPr>
          <w:rFonts w:hint="eastAsia" w:ascii="仿宋_GB2312" w:hAnsi="MS Mincho" w:eastAsia="仿宋_GB2312" w:cs="MS Mincho"/>
          <w:sz w:val="32"/>
          <w:szCs w:val="32"/>
          <w:lang w:eastAsia="zh-CN"/>
        </w:rPr>
        <w:t>。</w:t>
      </w:r>
    </w:p>
    <w:p>
      <w:pPr>
        <w:autoSpaceDE w:val="0"/>
        <w:autoSpaceDN w:val="0"/>
        <w:adjustRightInd w:val="0"/>
        <w:spacing w:line="560" w:lineRule="exact"/>
        <w:ind w:firstLine="632" w:firstLineChars="200"/>
        <w:jc w:val="left"/>
        <w:rPr>
          <w:rFonts w:hint="eastAsia" w:ascii="仿宋_GB2312" w:hAnsi="MS Mincho" w:eastAsia="仿宋_GB2312" w:cs="MS Mincho"/>
          <w:sz w:val="32"/>
          <w:szCs w:val="32"/>
          <w:lang w:eastAsia="zh-CN"/>
        </w:rPr>
      </w:pPr>
      <w:r>
        <w:rPr>
          <w:rFonts w:hint="eastAsia" w:ascii="仿宋_GB2312" w:hAnsi="MS Mincho" w:eastAsia="仿宋_GB2312" w:cs="MS Mincho"/>
          <w:sz w:val="32"/>
          <w:szCs w:val="32"/>
          <w:lang w:eastAsia="zh-CN"/>
        </w:rPr>
        <w:t>建议：严格按照相关法律法规和管理办法，完善考核机制</w:t>
      </w:r>
      <w:r>
        <w:rPr>
          <w:rFonts w:hint="eastAsia" w:ascii="仿宋_GB2312" w:hAnsi="MS Mincho" w:cs="MS Mincho"/>
          <w:sz w:val="32"/>
          <w:szCs w:val="32"/>
          <w:lang w:eastAsia="zh-CN"/>
        </w:rPr>
        <w:t>，量化评价指标</w:t>
      </w:r>
      <w:r>
        <w:rPr>
          <w:rFonts w:hint="eastAsia" w:ascii="仿宋_GB2312" w:hAnsi="MS Mincho" w:eastAsia="仿宋_GB2312" w:cs="MS Mincho"/>
          <w:sz w:val="32"/>
          <w:szCs w:val="32"/>
          <w:lang w:eastAsia="zh-CN"/>
        </w:rPr>
        <w:t>。</w:t>
      </w:r>
    </w:p>
    <w:p>
      <w:pPr>
        <w:numPr>
          <w:ilvl w:val="0"/>
          <w:numId w:val="5"/>
        </w:numPr>
        <w:spacing w:line="560" w:lineRule="exact"/>
        <w:ind w:leftChars="0"/>
        <w:rPr>
          <w:rFonts w:hint="eastAsia" w:ascii="黑体" w:hAnsi="宋体" w:eastAsia="黑体" w:cs="宋体"/>
          <w:szCs w:val="25"/>
        </w:rPr>
      </w:pPr>
      <w:r>
        <w:rPr>
          <w:rFonts w:hint="eastAsia" w:ascii="黑体" w:hAnsi="黑体" w:eastAsia="黑体" w:cs="HiddenHorzOCR"/>
          <w:szCs w:val="25"/>
        </w:rPr>
        <w:t>其他需</w:t>
      </w:r>
      <w:r>
        <w:rPr>
          <w:rFonts w:hint="eastAsia" w:ascii="黑体" w:hAnsi="宋体" w:eastAsia="黑体" w:cs="宋体"/>
          <w:szCs w:val="25"/>
        </w:rPr>
        <w:t>说</w:t>
      </w:r>
      <w:r>
        <w:rPr>
          <w:rFonts w:hint="eastAsia" w:ascii="黑体" w:hAnsi="MS Mincho" w:eastAsia="黑体" w:cs="MS Mincho"/>
          <w:szCs w:val="25"/>
        </w:rPr>
        <w:t>明的</w:t>
      </w:r>
      <w:r>
        <w:rPr>
          <w:rFonts w:hint="eastAsia" w:ascii="黑体" w:hAnsi="宋体" w:eastAsia="黑体" w:cs="宋体"/>
          <w:szCs w:val="25"/>
        </w:rPr>
        <w:t>问题</w:t>
      </w:r>
    </w:p>
    <w:p>
      <w:pPr>
        <w:numPr>
          <w:ilvl w:val="0"/>
          <w:numId w:val="0"/>
        </w:numPr>
        <w:spacing w:line="560" w:lineRule="exact"/>
        <w:ind w:leftChars="0" w:firstLine="632" w:firstLineChars="200"/>
        <w:rPr>
          <w:rFonts w:hint="default" w:ascii="黑体" w:hAnsi="宋体" w:eastAsia="黑体" w:cs="宋体"/>
          <w:szCs w:val="25"/>
          <w:lang w:val="en-US"/>
        </w:rPr>
        <w:sectPr>
          <w:footerReference r:id="rId5" w:type="default"/>
          <w:pgSz w:w="11906" w:h="16838"/>
          <w:pgMar w:top="1531" w:right="1361" w:bottom="1531" w:left="1361" w:header="851" w:footer="992" w:gutter="0"/>
          <w:pgNumType w:fmt="numberInDash"/>
          <w:cols w:space="0" w:num="1"/>
          <w:docGrid w:type="linesAndChars" w:linePitch="579" w:charSpace="-842"/>
        </w:sectPr>
      </w:pPr>
      <w:r>
        <w:rPr>
          <w:rFonts w:hint="eastAsia" w:ascii="仿宋_GB2312" w:hAnsi="仿宋_GB2312" w:eastAsia="仿宋_GB2312" w:cs="HiddenHorzOCR"/>
          <w:sz w:val="32"/>
          <w:szCs w:val="32"/>
          <w:lang w:eastAsia="zh-CN"/>
        </w:rPr>
        <w:t>在</w:t>
      </w:r>
      <w:r>
        <w:rPr>
          <w:rFonts w:hint="eastAsia" w:ascii="仿宋_GB2312" w:hAnsi="仿宋_GB2312" w:cs="HiddenHorzOCR"/>
          <w:sz w:val="32"/>
          <w:szCs w:val="32"/>
          <w:lang w:eastAsia="zh-CN"/>
        </w:rPr>
        <w:t>韶关市</w:t>
      </w:r>
      <w:r>
        <w:rPr>
          <w:rFonts w:hint="eastAsia" w:ascii="仿宋_GB2312" w:hAnsi="仿宋_GB2312" w:eastAsia="仿宋_GB2312" w:cs="HiddenHorzOCR"/>
          <w:sz w:val="32"/>
          <w:szCs w:val="32"/>
          <w:lang w:eastAsia="zh-CN"/>
        </w:rPr>
        <w:t>山水林田湖草生态保护修复工程项目实施过程中，</w:t>
      </w:r>
      <w:r>
        <w:rPr>
          <w:rFonts w:hint="eastAsia" w:ascii="仿宋_GB2312" w:hAnsi="仿宋_GB2312" w:cs="HiddenHorzOCR"/>
          <w:sz w:val="32"/>
          <w:szCs w:val="32"/>
          <w:lang w:eastAsia="zh-CN"/>
        </w:rPr>
        <w:t>应加强各县市类似项目间的交流，相互学习借鉴好的做法，</w:t>
      </w:r>
      <w:r>
        <w:rPr>
          <w:rFonts w:hint="eastAsia" w:ascii="仿宋_GB2312" w:hAnsi="仿宋_GB2312" w:eastAsia="仿宋_GB2312" w:cs="HiddenHorzOCR"/>
          <w:sz w:val="32"/>
          <w:szCs w:val="32"/>
          <w:lang w:eastAsia="zh-CN"/>
        </w:rPr>
        <w:t>复制可推广的项目经验和亮点，</w:t>
      </w:r>
      <w:r>
        <w:rPr>
          <w:rFonts w:hint="eastAsia" w:ascii="仿宋_GB2312" w:hAnsi="仿宋_GB2312" w:cs="HiddenHorzOCR"/>
          <w:sz w:val="32"/>
          <w:szCs w:val="32"/>
          <w:lang w:eastAsia="zh-CN"/>
        </w:rPr>
        <w:t>更好的完成相应绩效。</w:t>
      </w:r>
    </w:p>
    <w:p>
      <w:pPr>
        <w:adjustRightInd w:val="0"/>
        <w:snapToGrid w:val="0"/>
        <w:spacing w:line="360" w:lineRule="auto"/>
        <w:rPr>
          <w:rFonts w:eastAsia="宋体"/>
          <w:color w:val="000000" w:themeColor="text1"/>
          <w:szCs w:val="32"/>
          <w:lang w:eastAsia="zh-CN"/>
          <w14:textFill>
            <w14:solidFill>
              <w14:schemeClr w14:val="tx1"/>
            </w14:solidFill>
          </w14:textFill>
        </w:rPr>
      </w:pPr>
      <w:r>
        <w:rPr>
          <w:rFonts w:eastAsia="宋体"/>
          <w:color w:val="000000" w:themeColor="text1"/>
          <w:szCs w:val="32"/>
          <w:lang w:eastAsia="zh-CN"/>
          <w14:textFill>
            <w14:solidFill>
              <w14:schemeClr w14:val="tx1"/>
            </w14:solidFill>
          </w14:textFill>
        </w:rPr>
        <w:t>附件1</w:t>
      </w:r>
    </w:p>
    <w:p>
      <w:pPr>
        <w:spacing w:line="560" w:lineRule="exact"/>
        <w:jc w:val="center"/>
        <w:rPr>
          <w:rFonts w:eastAsia="黑体"/>
          <w:b/>
          <w:color w:val="000000" w:themeColor="text1"/>
          <w:szCs w:val="25"/>
          <w:lang w:eastAsia="zh-CN"/>
          <w14:textFill>
            <w14:solidFill>
              <w14:schemeClr w14:val="tx1"/>
            </w14:solidFill>
          </w14:textFill>
        </w:rPr>
      </w:pPr>
      <w:r>
        <w:rPr>
          <w:rFonts w:eastAsia="宋体"/>
          <w:b/>
          <w:color w:val="000000" w:themeColor="text1"/>
          <w:szCs w:val="32"/>
          <w:lang w:eastAsia="zh-CN"/>
          <w14:textFill>
            <w14:solidFill>
              <w14:schemeClr w14:val="tx1"/>
            </w14:solidFill>
          </w14:textFill>
        </w:rPr>
        <w:t>韶关市山水林田湖草生态保护修复工程试点绩效考评指标体系</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93"/>
        <w:gridCol w:w="3212"/>
        <w:gridCol w:w="6827"/>
        <w:gridCol w:w="991"/>
        <w:gridCol w:w="991"/>
        <w:gridCol w:w="489"/>
        <w:gridCol w:w="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blHeader/>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指标</w:t>
            </w:r>
          </w:p>
        </w:tc>
        <w:tc>
          <w:tcPr>
            <w:tcW w:w="1163"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考核内容</w:t>
            </w:r>
          </w:p>
        </w:tc>
        <w:tc>
          <w:tcPr>
            <w:tcW w:w="2471" w:type="pct"/>
            <w:vMerge w:val="restar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考核标准</w:t>
            </w:r>
          </w:p>
        </w:tc>
        <w:tc>
          <w:tcPr>
            <w:tcW w:w="359" w:type="pct"/>
            <w:vMerge w:val="restart"/>
          </w:tcPr>
          <w:p>
            <w:pPr>
              <w:widowControl/>
              <w:jc w:val="center"/>
              <w:textAlignment w:val="center"/>
              <w:rPr>
                <w:rFonts w:eastAsia="楷体"/>
                <w:b/>
                <w:color w:val="000000" w:themeColor="text1"/>
                <w:sz w:val="21"/>
                <w:szCs w:val="21"/>
                <w:lang w:eastAsia="zh-CN"/>
                <w14:textFill>
                  <w14:solidFill>
                    <w14:schemeClr w14:val="tx1"/>
                  </w14:solidFill>
                </w14:textFill>
              </w:rPr>
            </w:pPr>
            <w:r>
              <w:rPr>
                <w:rFonts w:hint="eastAsia" w:eastAsia="楷体"/>
                <w:b/>
                <w:color w:val="000000" w:themeColor="text1"/>
                <w:sz w:val="21"/>
                <w:szCs w:val="21"/>
                <w:lang w:eastAsia="zh-CN"/>
                <w14:textFill>
                  <w14:solidFill>
                    <w14:schemeClr w14:val="tx1"/>
                  </w14:solidFill>
                </w14:textFill>
              </w:rPr>
              <w:t>评价依据</w:t>
            </w:r>
          </w:p>
        </w:tc>
        <w:tc>
          <w:tcPr>
            <w:tcW w:w="359" w:type="pct"/>
            <w:vMerge w:val="restart"/>
          </w:tcPr>
          <w:p>
            <w:pPr>
              <w:widowControl/>
              <w:jc w:val="center"/>
              <w:textAlignment w:val="center"/>
              <w:rPr>
                <w:rFonts w:eastAsia="楷体"/>
                <w:b/>
                <w:color w:val="000000" w:themeColor="text1"/>
                <w:sz w:val="21"/>
                <w:szCs w:val="21"/>
                <w:lang w:eastAsia="zh-CN"/>
                <w14:textFill>
                  <w14:solidFill>
                    <w14:schemeClr w14:val="tx1"/>
                  </w14:solidFill>
                </w14:textFill>
              </w:rPr>
            </w:pPr>
            <w:r>
              <w:rPr>
                <w:rFonts w:hint="eastAsia" w:eastAsia="楷体"/>
                <w:b/>
                <w:color w:val="000000" w:themeColor="text1"/>
                <w:sz w:val="21"/>
                <w:szCs w:val="21"/>
                <w:lang w:eastAsia="zh-CN"/>
                <w14:textFill>
                  <w14:solidFill>
                    <w14:schemeClr w14:val="tx1"/>
                  </w14:solidFill>
                </w14:textFill>
              </w:rPr>
              <w:t>评价人</w:t>
            </w:r>
          </w:p>
        </w:tc>
        <w:tc>
          <w:tcPr>
            <w:tcW w:w="359" w:type="pct"/>
            <w:gridSpan w:val="2"/>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blHeader/>
        </w:trPr>
        <w:tc>
          <w:tcPr>
            <w:tcW w:w="287"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1163"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2471" w:type="pct"/>
            <w:vMerge w:val="continue"/>
            <w:shd w:val="clear" w:color="auto" w:fill="auto"/>
            <w:tcMar>
              <w:top w:w="15" w:type="dxa"/>
              <w:left w:w="15" w:type="dxa"/>
              <w:right w:w="15" w:type="dxa"/>
            </w:tcMar>
            <w:vAlign w:val="center"/>
          </w:tcPr>
          <w:p>
            <w:pPr>
              <w:jc w:val="center"/>
              <w:rPr>
                <w:rFonts w:eastAsia="楷体"/>
                <w:b/>
                <w:color w:val="000000" w:themeColor="text1"/>
                <w:sz w:val="21"/>
                <w:szCs w:val="21"/>
                <w14:textFill>
                  <w14:solidFill>
                    <w14:schemeClr w14:val="tx1"/>
                  </w14:solidFill>
                </w14:textFill>
              </w:rPr>
            </w:pPr>
          </w:p>
        </w:tc>
        <w:tc>
          <w:tcPr>
            <w:tcW w:w="359" w:type="pct"/>
            <w:vMerge w:val="continue"/>
          </w:tcPr>
          <w:p>
            <w:pPr>
              <w:widowControl/>
              <w:jc w:val="center"/>
              <w:textAlignment w:val="center"/>
              <w:rPr>
                <w:rFonts w:eastAsia="楷体"/>
                <w:b/>
                <w:color w:val="000000" w:themeColor="text1"/>
                <w:sz w:val="21"/>
                <w:szCs w:val="21"/>
                <w:lang w:eastAsia="zh-CN"/>
                <w14:textFill>
                  <w14:solidFill>
                    <w14:schemeClr w14:val="tx1"/>
                  </w14:solidFill>
                </w14:textFill>
              </w:rPr>
            </w:pPr>
          </w:p>
        </w:tc>
        <w:tc>
          <w:tcPr>
            <w:tcW w:w="359" w:type="pct"/>
            <w:vMerge w:val="continue"/>
          </w:tcPr>
          <w:p>
            <w:pPr>
              <w:widowControl/>
              <w:jc w:val="center"/>
              <w:textAlignment w:val="center"/>
              <w:rPr>
                <w:rFonts w:eastAsia="楷体"/>
                <w:b/>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自评</w:t>
            </w:r>
          </w:p>
        </w:tc>
        <w:tc>
          <w:tcPr>
            <w:tcW w:w="182" w:type="pct"/>
            <w:shd w:val="clear" w:color="auto" w:fill="auto"/>
            <w:tcMar>
              <w:top w:w="15" w:type="dxa"/>
              <w:left w:w="15" w:type="dxa"/>
              <w:right w:w="15" w:type="dxa"/>
            </w:tcMar>
            <w:vAlign w:val="center"/>
          </w:tcPr>
          <w:p>
            <w:pPr>
              <w:widowControl/>
              <w:jc w:val="center"/>
              <w:textAlignment w:val="center"/>
              <w:rPr>
                <w:rFonts w:eastAsia="楷体"/>
                <w:b/>
                <w:color w:val="000000" w:themeColor="text1"/>
                <w:sz w:val="21"/>
                <w:szCs w:val="21"/>
                <w14:textFill>
                  <w14:solidFill>
                    <w14:schemeClr w14:val="tx1"/>
                  </w14:solidFill>
                </w14:textFill>
              </w:rPr>
            </w:pPr>
            <w:r>
              <w:rPr>
                <w:rFonts w:eastAsia="楷体"/>
                <w:b/>
                <w:color w:val="000000" w:themeColor="text1"/>
                <w:sz w:val="21"/>
                <w:szCs w:val="21"/>
                <w:lang w:eastAsia="zh-CN"/>
                <w14:textFill>
                  <w14:solidFill>
                    <w14:schemeClr w14:val="tx1"/>
                  </w14:solidFill>
                </w14:textFill>
              </w:rPr>
              <w:t>市评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287" w:type="pc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自评总结（</w:t>
            </w:r>
            <w:r>
              <w:rPr>
                <w:rFonts w:hint="eastAsia" w:eastAsia="楷体"/>
                <w:color w:val="000000" w:themeColor="text1"/>
                <w:sz w:val="21"/>
                <w:szCs w:val="21"/>
                <w:lang w:eastAsia="zh-CN"/>
                <w14:textFill>
                  <w14:solidFill>
                    <w14:schemeClr w14:val="tx1"/>
                  </w14:solidFill>
                </w14:textFill>
              </w:rPr>
              <w:t>20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及时保质上报自评报告和附件表格（20分）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1.在规定时间前提交绩效自评材料得4分，未按规定提交的，不得分；</w:t>
            </w:r>
          </w:p>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2.自评报告内容详实，条理清晰，表格得扣分有依有据，得15-16分；自评报告内容较充实，表格得扣分有依据，但有待补充，得12-14分；自评报告内容欠缺，表格得分依据欠缺，不得超过10分。</w:t>
            </w:r>
          </w:p>
        </w:tc>
        <w:tc>
          <w:tcPr>
            <w:tcW w:w="359" w:type="pct"/>
          </w:tcPr>
          <w:p>
            <w:pPr>
              <w:rPr>
                <w:rFonts w:eastAsia="楷体"/>
                <w:b/>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自评报告和附件表格</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技术团队</w:t>
            </w:r>
          </w:p>
        </w:tc>
        <w:tc>
          <w:tcPr>
            <w:tcW w:w="177" w:type="pct"/>
            <w:shd w:val="clear" w:color="auto" w:fill="auto"/>
            <w:tcMar>
              <w:top w:w="15" w:type="dxa"/>
              <w:left w:w="15" w:type="dxa"/>
              <w:right w:w="15" w:type="dxa"/>
            </w:tcMar>
            <w:vAlign w:val="center"/>
          </w:tcPr>
          <w:p>
            <w:pPr>
              <w:jc w:val="center"/>
              <w:rPr>
                <w:rFonts w:hint="default" w:eastAsia="楷体"/>
                <w:b/>
                <w:color w:val="000000" w:themeColor="text1"/>
                <w:sz w:val="21"/>
                <w:szCs w:val="21"/>
                <w:lang w:val="en-US" w:eastAsia="zh-CN"/>
                <w14:textFill>
                  <w14:solidFill>
                    <w14:schemeClr w14:val="tx1"/>
                  </w14:solidFill>
                </w14:textFill>
              </w:rPr>
            </w:pPr>
            <w:r>
              <w:rPr>
                <w:rFonts w:hint="eastAsia" w:eastAsia="楷体"/>
                <w:b/>
                <w:color w:val="000000" w:themeColor="text1"/>
                <w:sz w:val="21"/>
                <w:szCs w:val="21"/>
                <w:lang w:val="en-US" w:eastAsia="zh-CN"/>
                <w14:textFill>
                  <w14:solidFill>
                    <w14:schemeClr w14:val="tx1"/>
                  </w14:solidFill>
                </w14:textFill>
              </w:rPr>
              <w:t>18</w:t>
            </w:r>
          </w:p>
        </w:tc>
        <w:tc>
          <w:tcPr>
            <w:tcW w:w="182" w:type="pct"/>
            <w:shd w:val="clear" w:color="auto" w:fill="auto"/>
            <w:tcMar>
              <w:top w:w="15" w:type="dxa"/>
              <w:left w:w="15" w:type="dxa"/>
              <w:right w:w="15" w:type="dxa"/>
            </w:tcMar>
            <w:vAlign w:val="center"/>
          </w:tcPr>
          <w:p>
            <w:pPr>
              <w:jc w:val="center"/>
              <w:rPr>
                <w:rFonts w:eastAsia="楷体"/>
                <w:b/>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资金到位</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40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1.中央专项资金的支出进度（</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执行率=实际支出/项目总投资。得分=执行率×分值。</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2.地方配套到位情况（10）</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到位率=地方资金实际到位数（以下达文件或支付凭证为准）/地方资金应到位数。得分=到位率×分值。资金全部到位，得10分；到位率在60%以下的，不得分。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3</w:t>
            </w:r>
            <w:r>
              <w:rPr>
                <w:rFonts w:eastAsia="楷体"/>
                <w:color w:val="000000" w:themeColor="text1"/>
                <w:sz w:val="21"/>
                <w:szCs w:val="21"/>
                <w:lang w:eastAsia="zh-CN"/>
                <w14:textFill>
                  <w14:solidFill>
                    <w14:schemeClr w14:val="tx1"/>
                  </w14:solidFill>
                </w14:textFill>
              </w:rPr>
              <w:t>.资金使用合理性（</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Style w:val="31"/>
                <w:rFonts w:ascii="Times New Roman" w:eastAsia="楷体" w:cs="Times New Roman"/>
                <w:color w:val="000000" w:themeColor="text1"/>
                <w:sz w:val="21"/>
                <w:szCs w:val="21"/>
                <w:lang w:eastAsia="zh-CN"/>
                <w14:textFill>
                  <w14:solidFill>
                    <w14:schemeClr w14:val="tx1"/>
                  </w14:solidFill>
                </w14:textFill>
              </w:rPr>
              <w:t>资金使用是否符合有关法律和国家、省及《韶关市山水林田湖草生态保护修复试点资金筹集使用管理操作细则》等有关制度规定，是否存在截留、挤占或闲置等问题，符合要求得</w:t>
            </w:r>
            <w:r>
              <w:rPr>
                <w:rStyle w:val="32"/>
                <w:rFonts w:eastAsia="楷体"/>
                <w:color w:val="000000" w:themeColor="text1"/>
                <w:sz w:val="21"/>
                <w:szCs w:val="21"/>
                <w:lang w:eastAsia="zh-CN"/>
                <w14:textFill>
                  <w14:solidFill>
                    <w14:schemeClr w14:val="tx1"/>
                  </w14:solidFill>
                </w14:textFill>
              </w:rPr>
              <w:t>10</w:t>
            </w:r>
            <w:r>
              <w:rPr>
                <w:rStyle w:val="31"/>
                <w:rFonts w:ascii="Times New Roman" w:eastAsia="楷体" w:cs="Times New Roman"/>
                <w:color w:val="000000" w:themeColor="text1"/>
                <w:sz w:val="21"/>
                <w:szCs w:val="21"/>
                <w:lang w:eastAsia="zh-CN"/>
                <w14:textFill>
                  <w14:solidFill>
                    <w14:schemeClr w14:val="tx1"/>
                  </w14:solidFill>
                </w14:textFill>
              </w:rPr>
              <w:t>分，</w:t>
            </w:r>
            <w:r>
              <w:rPr>
                <w:rStyle w:val="33"/>
                <w:rFonts w:hint="default" w:ascii="Times New Roman" w:hAnsi="Times New Roman" w:eastAsia="楷体" w:cs="Times New Roman"/>
                <w:color w:val="000000" w:themeColor="text1"/>
                <w:sz w:val="21"/>
                <w:szCs w:val="21"/>
                <w:lang w:eastAsia="zh-CN"/>
                <w14:textFill>
                  <w14:solidFill>
                    <w14:schemeClr w14:val="tx1"/>
                  </w14:solidFill>
                </w14:textFill>
              </w:rPr>
              <w:t>否则不得分</w:t>
            </w:r>
            <w:r>
              <w:rPr>
                <w:rStyle w:val="31"/>
                <w:rFonts w:ascii="Times New Roman" w:eastAsia="楷体" w:cs="Times New Roman"/>
                <w:color w:val="000000" w:themeColor="text1"/>
                <w:sz w:val="21"/>
                <w:szCs w:val="21"/>
                <w:lang w:eastAsia="zh-CN"/>
                <w14:textFill>
                  <w14:solidFill>
                    <w14:schemeClr w14:val="tx1"/>
                  </w14:solidFill>
                </w14:textFill>
              </w:rPr>
              <w:t>。</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4.</w:t>
            </w:r>
            <w:r>
              <w:rPr>
                <w:rFonts w:eastAsia="楷体"/>
                <w:color w:val="000000" w:themeColor="text1"/>
                <w:sz w:val="21"/>
                <w:szCs w:val="21"/>
                <w:lang w:eastAsia="zh-CN"/>
                <w14:textFill>
                  <w14:solidFill>
                    <w14:schemeClr w14:val="tx1"/>
                  </w14:solidFill>
                </w14:textFill>
              </w:rPr>
              <w:t>资金支付（</w:t>
            </w:r>
            <w:r>
              <w:rPr>
                <w:rStyle w:val="31"/>
                <w:rFonts w:ascii="Times New Roman" w:eastAsia="楷体" w:cs="Times New Roman"/>
                <w:color w:val="000000" w:themeColor="text1"/>
                <w:sz w:val="21"/>
                <w:szCs w:val="21"/>
                <w:lang w:eastAsia="zh-CN"/>
                <w14:textFill>
                  <w14:solidFill>
                    <w14:schemeClr w14:val="tx1"/>
                  </w14:solidFill>
                </w14:textFill>
              </w:rPr>
              <w:t>10分）</w:t>
            </w:r>
          </w:p>
        </w:tc>
        <w:tc>
          <w:tcPr>
            <w:tcW w:w="2471" w:type="pct"/>
            <w:shd w:val="clear" w:color="auto" w:fill="auto"/>
            <w:tcMar>
              <w:top w:w="15" w:type="dxa"/>
              <w:left w:w="15" w:type="dxa"/>
              <w:right w:w="15" w:type="dxa"/>
            </w:tcMar>
            <w:vAlign w:val="center"/>
          </w:tcPr>
          <w:p>
            <w:pPr>
              <w:widowControl/>
              <w:jc w:val="both"/>
              <w:textAlignment w:val="center"/>
              <w:rPr>
                <w:rStyle w:val="31"/>
                <w:rFonts w:ascii="Times New Roman" w:eastAsia="楷体" w:cs="Times New Roman"/>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项目资金支付凭证完整合规，得</w:t>
            </w:r>
            <w:r>
              <w:rPr>
                <w:rFonts w:hint="eastAsia" w:eastAsia="楷体"/>
                <w:color w:val="000000" w:themeColor="text1"/>
                <w:sz w:val="21"/>
                <w:szCs w:val="21"/>
                <w:lang w:eastAsia="zh-CN"/>
                <w14:textFill>
                  <w14:solidFill>
                    <w14:schemeClr w14:val="tx1"/>
                  </w14:solidFill>
                </w14:textFill>
              </w:rPr>
              <w:t>10</w:t>
            </w:r>
            <w:r>
              <w:rPr>
                <w:rFonts w:eastAsia="楷体"/>
                <w:color w:val="000000" w:themeColor="text1"/>
                <w:sz w:val="21"/>
                <w:szCs w:val="21"/>
                <w:lang w:eastAsia="zh-CN"/>
                <w14:textFill>
                  <w14:solidFill>
                    <w14:schemeClr w14:val="tx1"/>
                  </w14:solidFill>
                </w14:textFill>
              </w:rPr>
              <w:t>分，每</w:t>
            </w:r>
            <w:r>
              <w:rPr>
                <w:rFonts w:hint="eastAsia" w:eastAsia="楷体"/>
                <w:color w:val="000000" w:themeColor="text1"/>
                <w:sz w:val="21"/>
                <w:szCs w:val="21"/>
                <w:lang w:eastAsia="zh-CN"/>
                <w14:textFill>
                  <w14:solidFill>
                    <w14:schemeClr w14:val="tx1"/>
                  </w14:solidFill>
                </w14:textFill>
              </w:rPr>
              <w:t>有</w:t>
            </w:r>
            <w:r>
              <w:rPr>
                <w:rFonts w:eastAsia="楷体"/>
                <w:color w:val="000000" w:themeColor="text1"/>
                <w:sz w:val="21"/>
                <w:szCs w:val="21"/>
                <w:lang w:eastAsia="zh-CN"/>
                <w14:textFill>
                  <w14:solidFill>
                    <w14:schemeClr w14:val="tx1"/>
                  </w14:solidFill>
                </w14:textFill>
              </w:rPr>
              <w:t>一个项目</w:t>
            </w:r>
            <w:r>
              <w:rPr>
                <w:rFonts w:hint="eastAsia" w:eastAsia="楷体"/>
                <w:color w:val="000000" w:themeColor="text1"/>
                <w:sz w:val="21"/>
                <w:szCs w:val="21"/>
                <w:lang w:eastAsia="zh-CN"/>
                <w14:textFill>
                  <w14:solidFill>
                    <w14:schemeClr w14:val="tx1"/>
                  </w14:solidFill>
                </w14:textFill>
              </w:rPr>
              <w:t>支付凭证出现问题</w:t>
            </w:r>
            <w:r>
              <w:rPr>
                <w:rFonts w:eastAsia="楷体"/>
                <w:color w:val="000000" w:themeColor="text1"/>
                <w:sz w:val="21"/>
                <w:szCs w:val="21"/>
                <w:lang w:eastAsia="zh-CN"/>
                <w14:textFill>
                  <w14:solidFill>
                    <w14:schemeClr w14:val="tx1"/>
                  </w14:solidFill>
                </w14:textFill>
              </w:rPr>
              <w:t>，扣1分</w:t>
            </w:r>
            <w:r>
              <w:rPr>
                <w:rFonts w:hint="eastAsia" w:eastAsia="楷体"/>
                <w:color w:val="000000" w:themeColor="text1"/>
                <w:sz w:val="21"/>
                <w:szCs w:val="21"/>
                <w:lang w:eastAsia="zh-CN"/>
                <w14:textFill>
                  <w14:solidFill>
                    <w14:schemeClr w14:val="tx1"/>
                  </w14:solidFill>
                </w14:textFill>
              </w:rPr>
              <w:t>，扣完为止。</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市财政局提供数据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10</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87" w:type="pct"/>
            <w:vMerge w:val="restart"/>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组织实施</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40</w:t>
            </w:r>
            <w:r>
              <w:rPr>
                <w:rFonts w:eastAsia="楷体"/>
                <w:color w:val="000000" w:themeColor="text1"/>
                <w:sz w:val="21"/>
                <w:szCs w:val="21"/>
                <w:lang w:eastAsia="zh-CN"/>
                <w14:textFill>
                  <w14:solidFill>
                    <w14:schemeClr w14:val="tx1"/>
                  </w14:solidFill>
                </w14:textFill>
              </w:rPr>
              <w:t>分）</w:t>
            </w: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1.项目按时完工率</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10</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Style w:val="33"/>
                <w:rFonts w:hint="default" w:ascii="Times New Roman" w:hAnsi="Times New Roman" w:eastAsia="楷体" w:cs="Times New Roman"/>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完工率=项目完工数/应完工项目总数。得分=项目完工率×分值；完工率在60%以下的，不得分。（如项目下包含多个子项目，全部子项目完工则视为项目完工，否则为项目未完工）</w:t>
            </w:r>
          </w:p>
        </w:tc>
        <w:tc>
          <w:tcPr>
            <w:tcW w:w="359" w:type="pct"/>
          </w:tcPr>
          <w:p>
            <w:pP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自评报告</w:t>
            </w:r>
            <w:r>
              <w:rPr>
                <w:rFonts w:hint="eastAsia" w:eastAsia="楷体"/>
                <w:color w:val="000000" w:themeColor="text1"/>
                <w:sz w:val="21"/>
                <w:szCs w:val="21"/>
                <w:lang w:eastAsia="zh-CN"/>
                <w14:textFill>
                  <w14:solidFill>
                    <w14:schemeClr w14:val="tx1"/>
                  </w14:solidFill>
                </w14:textFill>
              </w:rPr>
              <w:t>和</w:t>
            </w:r>
            <w:r>
              <w:rPr>
                <w:rFonts w:eastAsia="楷体"/>
                <w:color w:val="000000" w:themeColor="text1"/>
                <w:sz w:val="21"/>
                <w:szCs w:val="21"/>
                <w:lang w:eastAsia="zh-CN"/>
                <w14:textFill>
                  <w14:solidFill>
                    <w14:schemeClr w14:val="tx1"/>
                  </w14:solidFill>
                </w14:textFill>
              </w:rPr>
              <w:t>信息管理系统</w:t>
            </w:r>
            <w:r>
              <w:rPr>
                <w:rFonts w:hint="eastAsia" w:eastAsia="楷体"/>
                <w:color w:val="000000" w:themeColor="text1"/>
                <w:sz w:val="21"/>
                <w:szCs w:val="21"/>
                <w:lang w:eastAsia="zh-CN"/>
                <w14:textFill>
                  <w14:solidFill>
                    <w14:schemeClr w14:val="tx1"/>
                  </w14:solidFill>
                </w14:textFill>
              </w:rPr>
              <w:t>上竣工验收报告</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ind w:firstLine="206" w:firstLineChars="100"/>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2.工程质量</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6</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此项为扣分项。</w:t>
            </w:r>
            <w:r>
              <w:rPr>
                <w:rFonts w:eastAsia="楷体"/>
                <w:color w:val="000000" w:themeColor="text1"/>
                <w:sz w:val="21"/>
                <w:szCs w:val="21"/>
                <w:lang w:eastAsia="zh-CN"/>
                <w14:textFill>
                  <w14:solidFill>
                    <w14:schemeClr w14:val="tx1"/>
                  </w14:solidFill>
                </w14:textFill>
              </w:rPr>
              <w:t>县（市、区）</w:t>
            </w:r>
            <w:r>
              <w:rPr>
                <w:rFonts w:hint="eastAsia" w:eastAsia="楷体"/>
                <w:color w:val="000000" w:themeColor="text1"/>
                <w:sz w:val="21"/>
                <w:szCs w:val="21"/>
                <w:lang w:eastAsia="zh-CN"/>
                <w14:textFill>
                  <w14:solidFill>
                    <w14:schemeClr w14:val="tx1"/>
                  </w14:solidFill>
                </w14:textFill>
              </w:rPr>
              <w:t>有一个项目验收为“不</w:t>
            </w:r>
            <w:r>
              <w:rPr>
                <w:rStyle w:val="34"/>
                <w:rFonts w:hint="default" w:ascii="Times New Roman" w:hAnsi="Times New Roman" w:eastAsia="楷体" w:cs="Times New Roman"/>
                <w:color w:val="000000" w:themeColor="text1"/>
                <w:sz w:val="21"/>
                <w:szCs w:val="21"/>
                <w:lang w:eastAsia="zh-CN"/>
                <w14:textFill>
                  <w14:solidFill>
                    <w14:schemeClr w14:val="tx1"/>
                  </w14:solidFill>
                </w14:textFill>
              </w:rPr>
              <w:t>合格”即视为该</w:t>
            </w:r>
            <w:r>
              <w:rPr>
                <w:rFonts w:eastAsia="楷体"/>
                <w:color w:val="000000" w:themeColor="text1"/>
                <w:sz w:val="21"/>
                <w:szCs w:val="21"/>
                <w:lang w:eastAsia="zh-CN"/>
                <w14:textFill>
                  <w14:solidFill>
                    <w14:schemeClr w14:val="tx1"/>
                  </w14:solidFill>
                </w14:textFill>
              </w:rPr>
              <w:t>县（市、区）</w:t>
            </w:r>
            <w:r>
              <w:rPr>
                <w:rFonts w:hint="eastAsia" w:eastAsia="楷体"/>
                <w:color w:val="000000" w:themeColor="text1"/>
                <w:sz w:val="21"/>
                <w:szCs w:val="21"/>
                <w:lang w:eastAsia="zh-CN"/>
                <w14:textFill>
                  <w14:solidFill>
                    <w14:schemeClr w14:val="tx1"/>
                  </w14:solidFill>
                </w14:textFill>
              </w:rPr>
              <w:t>项目工程质量“不合格”</w:t>
            </w:r>
            <w:r>
              <w:rPr>
                <w:rStyle w:val="34"/>
                <w:rFonts w:hint="default" w:ascii="Times New Roman" w:hAnsi="Times New Roman" w:eastAsia="楷体" w:cs="Times New Roman"/>
                <w:color w:val="000000" w:themeColor="text1"/>
                <w:sz w:val="21"/>
                <w:szCs w:val="21"/>
                <w:lang w:eastAsia="zh-CN"/>
                <w14:textFill>
                  <w14:solidFill>
                    <w14:schemeClr w14:val="tx1"/>
                  </w14:solidFill>
                </w14:textFill>
              </w:rPr>
              <w:t>，本项</w:t>
            </w:r>
            <w:r>
              <w:rPr>
                <w:rFonts w:hint="eastAsia" w:eastAsia="楷体"/>
                <w:color w:val="000000" w:themeColor="text1"/>
                <w:sz w:val="21"/>
                <w:szCs w:val="21"/>
                <w:lang w:eastAsia="zh-CN"/>
                <w14:textFill>
                  <w14:solidFill>
                    <w14:schemeClr w14:val="tx1"/>
                  </w14:solidFill>
                </w14:textFill>
              </w:rPr>
              <w:t>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竣工验收报告</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技术团队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6</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7" w:type="pct"/>
            <w:vMerge w:val="continue"/>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widowControl/>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3.成本控制</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实际支出不超预算比例=抽查项目实际支出不超预算的个数/抽查项目总数。得分=实际支出不超预算比例×分值；比例在60%以下的，不得分。</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市财政提供数据</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87" w:type="pct"/>
            <w:vMerge w:val="continue"/>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jc w:val="both"/>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4.</w:t>
            </w:r>
            <w:r>
              <w:rPr>
                <w:rFonts w:eastAsia="楷体"/>
                <w:color w:val="000000" w:themeColor="text1"/>
                <w:sz w:val="21"/>
                <w:szCs w:val="21"/>
                <w:lang w:eastAsia="zh-CN"/>
                <w14:textFill>
                  <w14:solidFill>
                    <w14:schemeClr w14:val="tx1"/>
                  </w14:solidFill>
                </w14:textFill>
              </w:rPr>
              <w:t>档案管理（</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所有</w:t>
            </w:r>
            <w:r>
              <w:rPr>
                <w:rFonts w:eastAsia="楷体"/>
                <w:color w:val="000000" w:themeColor="text1"/>
                <w:sz w:val="21"/>
                <w:szCs w:val="21"/>
                <w:lang w:eastAsia="zh-CN"/>
                <w14:textFill>
                  <w14:solidFill>
                    <w14:schemeClr w14:val="tx1"/>
                  </w14:solidFill>
                </w14:textFill>
              </w:rPr>
              <w:t>项目进行</w:t>
            </w:r>
            <w:r>
              <w:rPr>
                <w:rFonts w:hint="eastAsia" w:eastAsia="楷体"/>
                <w:color w:val="000000" w:themeColor="text1"/>
                <w:sz w:val="21"/>
                <w:szCs w:val="21"/>
                <w:lang w:eastAsia="zh-CN"/>
                <w14:textFill>
                  <w14:solidFill>
                    <w14:schemeClr w14:val="tx1"/>
                  </w14:solidFill>
                </w14:textFill>
              </w:rPr>
              <w:t>全过程</w:t>
            </w:r>
            <w:r>
              <w:rPr>
                <w:rFonts w:eastAsia="楷体"/>
                <w:color w:val="000000" w:themeColor="text1"/>
                <w:sz w:val="21"/>
                <w:szCs w:val="21"/>
                <w:lang w:eastAsia="zh-CN"/>
                <w14:textFill>
                  <w14:solidFill>
                    <w14:schemeClr w14:val="tx1"/>
                  </w14:solidFill>
                </w14:textFill>
              </w:rPr>
              <w:t>档案整理，</w:t>
            </w:r>
            <w:r>
              <w:rPr>
                <w:rFonts w:hint="eastAsia" w:eastAsia="楷体"/>
                <w:color w:val="000000" w:themeColor="text1"/>
                <w:sz w:val="21"/>
                <w:szCs w:val="21"/>
                <w:lang w:eastAsia="zh-CN"/>
                <w14:textFill>
                  <w14:solidFill>
                    <w14:schemeClr w14:val="tx1"/>
                  </w14:solidFill>
                </w14:textFill>
              </w:rPr>
              <w:t>抽查 2个项目，</w:t>
            </w:r>
            <w:r>
              <w:rPr>
                <w:rFonts w:eastAsia="楷体"/>
                <w:color w:val="000000" w:themeColor="text1"/>
                <w:sz w:val="21"/>
                <w:szCs w:val="21"/>
                <w:lang w:eastAsia="zh-CN"/>
                <w14:textFill>
                  <w14:solidFill>
                    <w14:schemeClr w14:val="tx1"/>
                  </w14:solidFill>
                </w14:textFill>
              </w:rPr>
              <w:t>缺失一项必须的资料扣0.5分，扣完为止。</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纸质归档资料</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8</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287" w:type="pct"/>
            <w:vMerge w:val="continue"/>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c>
          <w:tcPr>
            <w:tcW w:w="1163" w:type="pct"/>
            <w:shd w:val="clear" w:color="auto" w:fill="auto"/>
            <w:tcMar>
              <w:top w:w="15" w:type="dxa"/>
              <w:left w:w="15" w:type="dxa"/>
              <w:right w:w="15" w:type="dxa"/>
            </w:tcMar>
            <w:vAlign w:val="center"/>
          </w:tcPr>
          <w:p>
            <w:pPr>
              <w:jc w:val="both"/>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5.电子档案管理</w:t>
            </w:r>
            <w:r>
              <w:rPr>
                <w:rFonts w:eastAsia="楷体"/>
                <w:color w:val="000000" w:themeColor="text1"/>
                <w:sz w:val="21"/>
                <w:szCs w:val="21"/>
                <w:lang w:eastAsia="zh-CN"/>
                <w14:textFill>
                  <w14:solidFill>
                    <w14:schemeClr w14:val="tx1"/>
                  </w14:solidFill>
                </w14:textFill>
              </w:rPr>
              <w:t>（</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w:t>
            </w:r>
          </w:p>
        </w:tc>
        <w:tc>
          <w:tcPr>
            <w:tcW w:w="2471" w:type="pct"/>
            <w:shd w:val="clear" w:color="auto" w:fill="auto"/>
            <w:tcMar>
              <w:top w:w="15" w:type="dxa"/>
              <w:left w:w="15" w:type="dxa"/>
              <w:right w:w="15" w:type="dxa"/>
            </w:tcMar>
            <w:vAlign w:val="center"/>
          </w:tcPr>
          <w:p>
            <w:pPr>
              <w:widowControl/>
              <w:jc w:val="both"/>
              <w:textAlignment w:val="cente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信息管理系统上，各县（市、区）所有项目</w:t>
            </w:r>
            <w:r>
              <w:rPr>
                <w:rFonts w:hint="eastAsia" w:eastAsia="楷体"/>
                <w:color w:val="000000" w:themeColor="text1"/>
                <w:sz w:val="21"/>
                <w:szCs w:val="21"/>
                <w:lang w:eastAsia="zh-CN"/>
                <w14:textFill>
                  <w14:solidFill>
                    <w14:schemeClr w14:val="tx1"/>
                  </w14:solidFill>
                </w14:textFill>
              </w:rPr>
              <w:t>（涉密项目除外）</w:t>
            </w:r>
            <w:r>
              <w:rPr>
                <w:rFonts w:eastAsia="楷体"/>
                <w:color w:val="000000" w:themeColor="text1"/>
                <w:sz w:val="21"/>
                <w:szCs w:val="21"/>
                <w:lang w:eastAsia="zh-CN"/>
                <w14:textFill>
                  <w14:solidFill>
                    <w14:schemeClr w14:val="tx1"/>
                  </w14:solidFill>
                </w14:textFill>
              </w:rPr>
              <w:t>均按时保质报送要求的所有资料、最新的工程进度和资金支出进度，得</w:t>
            </w:r>
            <w:r>
              <w:rPr>
                <w:rFonts w:hint="eastAsia" w:eastAsia="楷体"/>
                <w:color w:val="000000" w:themeColor="text1"/>
                <w:sz w:val="21"/>
                <w:szCs w:val="21"/>
                <w:lang w:eastAsia="zh-CN"/>
                <w14:textFill>
                  <w14:solidFill>
                    <w14:schemeClr w14:val="tx1"/>
                  </w14:solidFill>
                </w14:textFill>
              </w:rPr>
              <w:t>8</w:t>
            </w:r>
            <w:r>
              <w:rPr>
                <w:rFonts w:eastAsia="楷体"/>
                <w:color w:val="000000" w:themeColor="text1"/>
                <w:sz w:val="21"/>
                <w:szCs w:val="21"/>
                <w:lang w:eastAsia="zh-CN"/>
                <w14:textFill>
                  <w14:solidFill>
                    <w14:schemeClr w14:val="tx1"/>
                  </w14:solidFill>
                </w14:textFill>
              </w:rPr>
              <w:t>分；未按要求报送的，按每缺少一个项目录入，扣1分，扣完即止。对于已录入系统的项目，每缺少一项资料或者没有更新为最新的工程进度和资金支出进度，扣0.5分。</w:t>
            </w:r>
          </w:p>
        </w:tc>
        <w:tc>
          <w:tcPr>
            <w:tcW w:w="359" w:type="pct"/>
          </w:tcPr>
          <w:p>
            <w:pPr>
              <w:rPr>
                <w:rFonts w:eastAsia="楷体"/>
                <w:color w:val="000000" w:themeColor="text1"/>
                <w:sz w:val="21"/>
                <w:szCs w:val="21"/>
                <w:lang w:eastAsia="zh-CN"/>
                <w14:textFill>
                  <w14:solidFill>
                    <w14:schemeClr w14:val="tx1"/>
                  </w14:solidFill>
                </w14:textFill>
              </w:rPr>
            </w:pPr>
            <w:r>
              <w:rPr>
                <w:rFonts w:eastAsia="楷体"/>
                <w:color w:val="000000" w:themeColor="text1"/>
                <w:sz w:val="21"/>
                <w:szCs w:val="21"/>
                <w:lang w:eastAsia="zh-CN"/>
                <w14:textFill>
                  <w14:solidFill>
                    <w14:schemeClr w14:val="tx1"/>
                  </w14:solidFill>
                </w14:textFill>
              </w:rPr>
              <w:t>信息管理系统</w:t>
            </w:r>
          </w:p>
        </w:tc>
        <w:tc>
          <w:tcPr>
            <w:tcW w:w="359" w:type="pct"/>
          </w:tcPr>
          <w:p>
            <w:pPr>
              <w:rPr>
                <w:rFonts w:eastAsia="楷体"/>
                <w:color w:val="000000" w:themeColor="text1"/>
                <w:sz w:val="21"/>
                <w:szCs w:val="21"/>
                <w:lang w:eastAsia="zh-CN"/>
                <w14:textFill>
                  <w14:solidFill>
                    <w14:schemeClr w14:val="tx1"/>
                  </w14:solidFill>
                </w14:textFill>
              </w:rPr>
            </w:pPr>
            <w:r>
              <w:rPr>
                <w:rFonts w:hint="eastAsia" w:eastAsia="楷体"/>
                <w:color w:val="000000" w:themeColor="text1"/>
                <w:sz w:val="21"/>
                <w:szCs w:val="21"/>
                <w:lang w:eastAsia="zh-CN"/>
                <w14:textFill>
                  <w14:solidFill>
                    <w14:schemeClr w14:val="tx1"/>
                  </w14:solidFill>
                </w14:textFill>
              </w:rPr>
              <w:t>管理团队</w:t>
            </w:r>
          </w:p>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ind w:firstLine="206" w:firstLineChars="100"/>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6</w:t>
            </w:r>
          </w:p>
        </w:tc>
        <w:tc>
          <w:tcPr>
            <w:tcW w:w="182" w:type="pct"/>
            <w:shd w:val="clear" w:color="auto" w:fill="auto"/>
            <w:tcMar>
              <w:top w:w="15" w:type="dxa"/>
              <w:left w:w="15" w:type="dxa"/>
              <w:right w:w="15" w:type="dxa"/>
            </w:tcMar>
            <w:vAlign w:val="center"/>
          </w:tcPr>
          <w:p>
            <w:pPr>
              <w:jc w:val="center"/>
              <w:rPr>
                <w:rFonts w:eastAsia="楷体"/>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922" w:type="pct"/>
            <w:gridSpan w:val="3"/>
            <w:shd w:val="clear" w:color="auto" w:fill="auto"/>
            <w:tcMar>
              <w:top w:w="15" w:type="dxa"/>
              <w:left w:w="15" w:type="dxa"/>
              <w:right w:w="15" w:type="dxa"/>
            </w:tcMar>
            <w:vAlign w:val="center"/>
          </w:tcPr>
          <w:p>
            <w:pPr>
              <w:widowControl/>
              <w:jc w:val="center"/>
              <w:textAlignment w:val="center"/>
              <w:rPr>
                <w:rFonts w:eastAsia="楷体"/>
                <w:color w:val="000000" w:themeColor="text1"/>
                <w:sz w:val="21"/>
                <w:szCs w:val="21"/>
                <w14:textFill>
                  <w14:solidFill>
                    <w14:schemeClr w14:val="tx1"/>
                  </w14:solidFill>
                </w14:textFill>
              </w:rPr>
            </w:pPr>
            <w:r>
              <w:rPr>
                <w:rFonts w:eastAsia="楷体"/>
                <w:color w:val="000000" w:themeColor="text1"/>
                <w:sz w:val="21"/>
                <w:szCs w:val="21"/>
                <w:lang w:eastAsia="zh-CN"/>
                <w14:textFill>
                  <w14:solidFill>
                    <w14:schemeClr w14:val="tx1"/>
                  </w14:solidFill>
                </w14:textFill>
              </w:rPr>
              <w:t>总分</w:t>
            </w:r>
          </w:p>
        </w:tc>
        <w:tc>
          <w:tcPr>
            <w:tcW w:w="359" w:type="pct"/>
          </w:tcPr>
          <w:p>
            <w:pPr>
              <w:rPr>
                <w:rFonts w:eastAsia="楷体"/>
                <w:color w:val="000000" w:themeColor="text1"/>
                <w:sz w:val="21"/>
                <w:szCs w:val="21"/>
                <w14:textFill>
                  <w14:solidFill>
                    <w14:schemeClr w14:val="tx1"/>
                  </w14:solidFill>
                </w14:textFill>
              </w:rPr>
            </w:pPr>
          </w:p>
        </w:tc>
        <w:tc>
          <w:tcPr>
            <w:tcW w:w="359" w:type="pct"/>
          </w:tcPr>
          <w:p>
            <w:pPr>
              <w:rPr>
                <w:rFonts w:eastAsia="楷体"/>
                <w:color w:val="000000" w:themeColor="text1"/>
                <w:sz w:val="21"/>
                <w:szCs w:val="21"/>
                <w:lang w:eastAsia="zh-CN"/>
                <w14:textFill>
                  <w14:solidFill>
                    <w14:schemeClr w14:val="tx1"/>
                  </w14:solidFill>
                </w14:textFill>
              </w:rPr>
            </w:pPr>
          </w:p>
        </w:tc>
        <w:tc>
          <w:tcPr>
            <w:tcW w:w="177" w:type="pct"/>
            <w:shd w:val="clear" w:color="auto" w:fill="auto"/>
            <w:tcMar>
              <w:top w:w="15" w:type="dxa"/>
              <w:left w:w="15" w:type="dxa"/>
              <w:right w:w="15" w:type="dxa"/>
            </w:tcMar>
            <w:vAlign w:val="center"/>
          </w:tcPr>
          <w:p>
            <w:pPr>
              <w:jc w:val="center"/>
              <w:rPr>
                <w:rFonts w:hint="default" w:eastAsia="楷体"/>
                <w:color w:val="000000" w:themeColor="text1"/>
                <w:sz w:val="21"/>
                <w:szCs w:val="21"/>
                <w:lang w:val="en-US" w:eastAsia="zh-CN"/>
                <w14:textFill>
                  <w14:solidFill>
                    <w14:schemeClr w14:val="tx1"/>
                  </w14:solidFill>
                </w14:textFill>
              </w:rPr>
            </w:pPr>
            <w:r>
              <w:rPr>
                <w:rFonts w:hint="eastAsia" w:eastAsia="楷体"/>
                <w:color w:val="000000" w:themeColor="text1"/>
                <w:sz w:val="21"/>
                <w:szCs w:val="21"/>
                <w:lang w:val="en-US" w:eastAsia="zh-CN"/>
                <w14:textFill>
                  <w14:solidFill>
                    <w14:schemeClr w14:val="tx1"/>
                  </w14:solidFill>
                </w14:textFill>
              </w:rPr>
              <w:t>92</w:t>
            </w:r>
          </w:p>
        </w:tc>
        <w:tc>
          <w:tcPr>
            <w:tcW w:w="182" w:type="pct"/>
            <w:shd w:val="clear" w:color="auto" w:fill="auto"/>
            <w:tcMar>
              <w:top w:w="15" w:type="dxa"/>
              <w:left w:w="15" w:type="dxa"/>
              <w:right w:w="15" w:type="dxa"/>
            </w:tcMar>
            <w:vAlign w:val="center"/>
          </w:tcPr>
          <w:p>
            <w:pPr>
              <w:rPr>
                <w:rFonts w:eastAsia="楷体"/>
                <w:color w:val="000000" w:themeColor="text1"/>
                <w:sz w:val="21"/>
                <w:szCs w:val="21"/>
                <w14:textFill>
                  <w14:solidFill>
                    <w14:schemeClr w14:val="tx1"/>
                  </w14:solidFill>
                </w14:textFill>
              </w:rPr>
            </w:pPr>
          </w:p>
        </w:tc>
      </w:tr>
    </w:tbl>
    <w:p>
      <w:pPr>
        <w:rPr>
          <w:rFonts w:eastAsia="宋体"/>
          <w:color w:val="000000" w:themeColor="text1"/>
          <w:szCs w:val="32"/>
          <w:lang w:eastAsia="zh-CN"/>
          <w14:textFill>
            <w14:solidFill>
              <w14:schemeClr w14:val="tx1"/>
            </w14:solidFill>
          </w14:textFill>
        </w:rPr>
        <w:sectPr>
          <w:footerReference r:id="rId6" w:type="default"/>
          <w:pgSz w:w="16838" w:h="11906" w:orient="landscape"/>
          <w:pgMar w:top="1361" w:right="1531" w:bottom="1361" w:left="1531" w:header="851" w:footer="992" w:gutter="0"/>
          <w:pgNumType w:fmt="numberInDash"/>
          <w:cols w:space="0" w:num="1"/>
          <w:docGrid w:type="linesAndChars" w:linePitch="579" w:charSpace="-842"/>
        </w:sectPr>
      </w:pPr>
    </w:p>
    <w:p>
      <w:pPr>
        <w:spacing w:line="560" w:lineRule="exact"/>
        <w:rPr>
          <w:rFonts w:eastAsia="仿宋"/>
          <w:color w:val="000000" w:themeColor="text1"/>
          <w:szCs w:val="32"/>
          <w:lang w:eastAsia="zh-CN"/>
          <w14:textFill>
            <w14:solidFill>
              <w14:schemeClr w14:val="tx1"/>
            </w14:solidFill>
          </w14:textFill>
        </w:rPr>
      </w:pPr>
    </w:p>
    <w:sectPr>
      <w:headerReference r:id="rId7" w:type="default"/>
      <w:footerReference r:id="rId9" w:type="default"/>
      <w:headerReference r:id="rId8" w:type="even"/>
      <w:footerReference r:id="rId10" w:type="even"/>
      <w:pgSz w:w="11900" w:h="16840"/>
      <w:pgMar w:top="2315" w:right="1187" w:bottom="2171" w:left="1194" w:header="0" w:footer="1743" w:gutter="0"/>
      <w:cols w:space="720"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HiddenHorzOCR">
    <w:altName w:val="MS Mincho"/>
    <w:panose1 w:val="00000000000000000000"/>
    <w:charset w:val="80"/>
    <w:family w:val="auto"/>
    <w:pitch w:val="default"/>
    <w:sig w:usb0="00000000" w:usb1="00000000" w:usb2="00000010" w:usb3="00000000" w:csb0="00000000" w:csb1="08070000"/>
  </w:font>
  <w:font w:name="MS Mincho">
    <w:panose1 w:val="02020609040205080304"/>
    <w:charset w:val="80"/>
    <w:family w:val="auto"/>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fc+G9IAAAADAQAADwAAAAAAAAABACAAAAAiAAAAZHJzL2Rvd25yZXYueG1s&#10;UEsBAhQAFAAAAAgAh07iQH+RQLE3AgAAYQQAAA4AAAAAAAAAAQAgAAAAIQEAAGRycy9lMm9Eb2Mu&#10;eG1sUEsFBgAAAAAGAAYAWQEAAMo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fc+G9IAAAADAQAADwAAAAAAAAABACAAAAAiAAAAZHJzL2Rvd25yZXYueG1s&#10;UEsBAhQAFAAAAAgAh07iQLqT1Ys3AgAAYQQAAA4AAAAAAAAAAQAgAAAAIQEAAGRycy9lMm9Eb2Mu&#10;eG1sUEsFBgAAAAAGAAYAWQEAAMo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89593"/>
    <w:multiLevelType w:val="singleLevel"/>
    <w:tmpl w:val="BF289593"/>
    <w:lvl w:ilvl="0" w:tentative="0">
      <w:start w:val="2"/>
      <w:numFmt w:val="chineseCounting"/>
      <w:suff w:val="nothing"/>
      <w:lvlText w:val="（%1）"/>
      <w:lvlJc w:val="left"/>
      <w:rPr>
        <w:rFonts w:hint="eastAsia"/>
      </w:rPr>
    </w:lvl>
  </w:abstractNum>
  <w:abstractNum w:abstractNumId="1">
    <w:nsid w:val="BF4243DC"/>
    <w:multiLevelType w:val="singleLevel"/>
    <w:tmpl w:val="BF4243DC"/>
    <w:lvl w:ilvl="0" w:tentative="0">
      <w:start w:val="2"/>
      <w:numFmt w:val="decimal"/>
      <w:lvlText w:val="%1."/>
      <w:lvlJc w:val="left"/>
      <w:pPr>
        <w:tabs>
          <w:tab w:val="left" w:pos="312"/>
        </w:tabs>
      </w:pPr>
    </w:lvl>
  </w:abstractNum>
  <w:abstractNum w:abstractNumId="2">
    <w:nsid w:val="F885449B"/>
    <w:multiLevelType w:val="singleLevel"/>
    <w:tmpl w:val="F885449B"/>
    <w:lvl w:ilvl="0" w:tentative="0">
      <w:start w:val="7"/>
      <w:numFmt w:val="chineseCounting"/>
      <w:suff w:val="nothing"/>
      <w:lvlText w:val="%1、"/>
      <w:lvlJc w:val="left"/>
      <w:rPr>
        <w:rFonts w:hint="eastAsia"/>
      </w:rPr>
    </w:lvl>
  </w:abstractNum>
  <w:abstractNum w:abstractNumId="3">
    <w:nsid w:val="0775215B"/>
    <w:multiLevelType w:val="singleLevel"/>
    <w:tmpl w:val="0775215B"/>
    <w:lvl w:ilvl="0" w:tentative="0">
      <w:start w:val="3"/>
      <w:numFmt w:val="chineseCounting"/>
      <w:suff w:val="nothing"/>
      <w:lvlText w:val="%1、"/>
      <w:lvlJc w:val="left"/>
      <w:rPr>
        <w:rFonts w:hint="eastAsia"/>
      </w:rPr>
    </w:lvl>
  </w:abstractNum>
  <w:abstractNum w:abstractNumId="4">
    <w:nsid w:val="0AB8C0C1"/>
    <w:multiLevelType w:val="singleLevel"/>
    <w:tmpl w:val="0AB8C0C1"/>
    <w:lvl w:ilvl="0" w:tentative="0">
      <w:start w:val="2"/>
      <w:numFmt w:val="decimal"/>
      <w:suff w:val="nothing"/>
      <w:lvlText w:val="（%1）"/>
      <w:lvlJc w:val="left"/>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181"/>
  <w:displayHorizontalDrawingGridEvery w:val="2"/>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B3D"/>
    <w:rsid w:val="00075938"/>
    <w:rsid w:val="000822AB"/>
    <w:rsid w:val="00094CBE"/>
    <w:rsid w:val="000D1256"/>
    <w:rsid w:val="000D7CED"/>
    <w:rsid w:val="000E344C"/>
    <w:rsid w:val="001149EE"/>
    <w:rsid w:val="00131994"/>
    <w:rsid w:val="001767F0"/>
    <w:rsid w:val="001F7D41"/>
    <w:rsid w:val="00252F27"/>
    <w:rsid w:val="002544CD"/>
    <w:rsid w:val="002A604E"/>
    <w:rsid w:val="002C0EAB"/>
    <w:rsid w:val="002D6D33"/>
    <w:rsid w:val="002E5B91"/>
    <w:rsid w:val="00311755"/>
    <w:rsid w:val="0031684F"/>
    <w:rsid w:val="003246BB"/>
    <w:rsid w:val="00330DB0"/>
    <w:rsid w:val="00366C36"/>
    <w:rsid w:val="00383EF4"/>
    <w:rsid w:val="003A1BA0"/>
    <w:rsid w:val="003B56B1"/>
    <w:rsid w:val="003D4C5E"/>
    <w:rsid w:val="003E6B4F"/>
    <w:rsid w:val="00402D18"/>
    <w:rsid w:val="00414799"/>
    <w:rsid w:val="0041784C"/>
    <w:rsid w:val="00437575"/>
    <w:rsid w:val="00475D86"/>
    <w:rsid w:val="004C5C56"/>
    <w:rsid w:val="004C5F29"/>
    <w:rsid w:val="00550410"/>
    <w:rsid w:val="00570856"/>
    <w:rsid w:val="005C25D5"/>
    <w:rsid w:val="005C4942"/>
    <w:rsid w:val="00605817"/>
    <w:rsid w:val="00605F08"/>
    <w:rsid w:val="006375E4"/>
    <w:rsid w:val="00660FD7"/>
    <w:rsid w:val="0069057A"/>
    <w:rsid w:val="006E3F18"/>
    <w:rsid w:val="006F3B51"/>
    <w:rsid w:val="00730DEA"/>
    <w:rsid w:val="00733E49"/>
    <w:rsid w:val="00756911"/>
    <w:rsid w:val="00765E05"/>
    <w:rsid w:val="00771856"/>
    <w:rsid w:val="00793200"/>
    <w:rsid w:val="007A18C4"/>
    <w:rsid w:val="007C3EE7"/>
    <w:rsid w:val="008046A4"/>
    <w:rsid w:val="00816945"/>
    <w:rsid w:val="00824380"/>
    <w:rsid w:val="00832FC0"/>
    <w:rsid w:val="00864764"/>
    <w:rsid w:val="008D209A"/>
    <w:rsid w:val="009009E6"/>
    <w:rsid w:val="0090578A"/>
    <w:rsid w:val="009123FC"/>
    <w:rsid w:val="00957504"/>
    <w:rsid w:val="0097392B"/>
    <w:rsid w:val="009A1B3D"/>
    <w:rsid w:val="009A2D7E"/>
    <w:rsid w:val="009C18FC"/>
    <w:rsid w:val="009E0E00"/>
    <w:rsid w:val="00A16488"/>
    <w:rsid w:val="00A33602"/>
    <w:rsid w:val="00AB62F8"/>
    <w:rsid w:val="00AB7F62"/>
    <w:rsid w:val="00AD60B6"/>
    <w:rsid w:val="00B8742E"/>
    <w:rsid w:val="00B9400D"/>
    <w:rsid w:val="00BA1111"/>
    <w:rsid w:val="00BC5A29"/>
    <w:rsid w:val="00BC7162"/>
    <w:rsid w:val="00C104B8"/>
    <w:rsid w:val="00C60EB6"/>
    <w:rsid w:val="00C75761"/>
    <w:rsid w:val="00C85982"/>
    <w:rsid w:val="00CA3AB2"/>
    <w:rsid w:val="00D260B8"/>
    <w:rsid w:val="00D521CB"/>
    <w:rsid w:val="00D61917"/>
    <w:rsid w:val="00D66BD8"/>
    <w:rsid w:val="00D702C4"/>
    <w:rsid w:val="00D94288"/>
    <w:rsid w:val="00DC1130"/>
    <w:rsid w:val="00E3142F"/>
    <w:rsid w:val="00E84274"/>
    <w:rsid w:val="00E95851"/>
    <w:rsid w:val="00EB514C"/>
    <w:rsid w:val="00EC37C5"/>
    <w:rsid w:val="00F32E71"/>
    <w:rsid w:val="00F42C4F"/>
    <w:rsid w:val="00F4372C"/>
    <w:rsid w:val="00F67071"/>
    <w:rsid w:val="00F7392C"/>
    <w:rsid w:val="00F91EC0"/>
    <w:rsid w:val="00FB40F7"/>
    <w:rsid w:val="00FB6D4C"/>
    <w:rsid w:val="00FD552C"/>
    <w:rsid w:val="01CF29BD"/>
    <w:rsid w:val="02526176"/>
    <w:rsid w:val="030D5F12"/>
    <w:rsid w:val="03916720"/>
    <w:rsid w:val="05CE7C61"/>
    <w:rsid w:val="05DB3E59"/>
    <w:rsid w:val="05F93D75"/>
    <w:rsid w:val="071C275C"/>
    <w:rsid w:val="0A9F6DD6"/>
    <w:rsid w:val="0B8A2FE9"/>
    <w:rsid w:val="0C5C6878"/>
    <w:rsid w:val="0C8A716A"/>
    <w:rsid w:val="0EAE3D63"/>
    <w:rsid w:val="10FA7BB3"/>
    <w:rsid w:val="11E76FCD"/>
    <w:rsid w:val="12441427"/>
    <w:rsid w:val="133F400D"/>
    <w:rsid w:val="149461BE"/>
    <w:rsid w:val="14EC2249"/>
    <w:rsid w:val="16656E43"/>
    <w:rsid w:val="16D0485E"/>
    <w:rsid w:val="172D28F1"/>
    <w:rsid w:val="186F7EC5"/>
    <w:rsid w:val="1A9A0267"/>
    <w:rsid w:val="1AE037A3"/>
    <w:rsid w:val="1AFA476C"/>
    <w:rsid w:val="1B644811"/>
    <w:rsid w:val="1BE43E9A"/>
    <w:rsid w:val="1C7C694A"/>
    <w:rsid w:val="1E7F6D70"/>
    <w:rsid w:val="1F382D31"/>
    <w:rsid w:val="1F4F4FFA"/>
    <w:rsid w:val="20DA7C4B"/>
    <w:rsid w:val="21315F37"/>
    <w:rsid w:val="21AF2784"/>
    <w:rsid w:val="23CD57C8"/>
    <w:rsid w:val="24B53373"/>
    <w:rsid w:val="275F551A"/>
    <w:rsid w:val="27616E2D"/>
    <w:rsid w:val="277177DC"/>
    <w:rsid w:val="27FB3280"/>
    <w:rsid w:val="282072E3"/>
    <w:rsid w:val="28A54A1E"/>
    <w:rsid w:val="28D3688F"/>
    <w:rsid w:val="28F22ABB"/>
    <w:rsid w:val="2E5A475E"/>
    <w:rsid w:val="30867043"/>
    <w:rsid w:val="32FD6372"/>
    <w:rsid w:val="35376504"/>
    <w:rsid w:val="360D2CFA"/>
    <w:rsid w:val="37212E11"/>
    <w:rsid w:val="37B55624"/>
    <w:rsid w:val="37DB3C5B"/>
    <w:rsid w:val="384805EC"/>
    <w:rsid w:val="38694817"/>
    <w:rsid w:val="389920DD"/>
    <w:rsid w:val="38B77C60"/>
    <w:rsid w:val="392F3C79"/>
    <w:rsid w:val="3A5226F3"/>
    <w:rsid w:val="3AC12CF2"/>
    <w:rsid w:val="3B127872"/>
    <w:rsid w:val="3CD46039"/>
    <w:rsid w:val="3D801564"/>
    <w:rsid w:val="41346F58"/>
    <w:rsid w:val="41AA5164"/>
    <w:rsid w:val="41D465D2"/>
    <w:rsid w:val="42227054"/>
    <w:rsid w:val="439429B2"/>
    <w:rsid w:val="43C615EF"/>
    <w:rsid w:val="44250040"/>
    <w:rsid w:val="45AD6709"/>
    <w:rsid w:val="475F400C"/>
    <w:rsid w:val="47B10EF1"/>
    <w:rsid w:val="48BD659E"/>
    <w:rsid w:val="48CC3585"/>
    <w:rsid w:val="490E6E99"/>
    <w:rsid w:val="4A2A41D5"/>
    <w:rsid w:val="4A5E2439"/>
    <w:rsid w:val="4BA76522"/>
    <w:rsid w:val="4C456BD7"/>
    <w:rsid w:val="4F502CF4"/>
    <w:rsid w:val="4F9B3ABB"/>
    <w:rsid w:val="504332D3"/>
    <w:rsid w:val="51586C8A"/>
    <w:rsid w:val="5436477F"/>
    <w:rsid w:val="545E17F7"/>
    <w:rsid w:val="54F4732F"/>
    <w:rsid w:val="555E1244"/>
    <w:rsid w:val="55F66EAA"/>
    <w:rsid w:val="56D9688F"/>
    <w:rsid w:val="574B78E0"/>
    <w:rsid w:val="57F20492"/>
    <w:rsid w:val="59810D31"/>
    <w:rsid w:val="5C48309F"/>
    <w:rsid w:val="5DCA50E5"/>
    <w:rsid w:val="5F1E08F7"/>
    <w:rsid w:val="5FBC3C8A"/>
    <w:rsid w:val="601E7231"/>
    <w:rsid w:val="604B60CD"/>
    <w:rsid w:val="61B207CB"/>
    <w:rsid w:val="62BC6011"/>
    <w:rsid w:val="638D04DA"/>
    <w:rsid w:val="63C720AD"/>
    <w:rsid w:val="65DA57DA"/>
    <w:rsid w:val="681D4BFF"/>
    <w:rsid w:val="68695E2D"/>
    <w:rsid w:val="69780A92"/>
    <w:rsid w:val="6A6B2308"/>
    <w:rsid w:val="6AD2007D"/>
    <w:rsid w:val="6C595C9B"/>
    <w:rsid w:val="6E7B79EA"/>
    <w:rsid w:val="6F541DB3"/>
    <w:rsid w:val="6FE96EDE"/>
    <w:rsid w:val="700028F2"/>
    <w:rsid w:val="72933F3E"/>
    <w:rsid w:val="72AB3308"/>
    <w:rsid w:val="7357190F"/>
    <w:rsid w:val="74375364"/>
    <w:rsid w:val="74DE249E"/>
    <w:rsid w:val="759232BF"/>
    <w:rsid w:val="796E0CCF"/>
    <w:rsid w:val="7A9E0079"/>
    <w:rsid w:val="7C06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仿宋_GB2312" w:cs="Times New Roman"/>
      <w:color w:val="000000"/>
      <w:sz w:val="32"/>
      <w:szCs w:val="24"/>
      <w:lang w:val="en-US" w:eastAsia="en-US" w:bidi="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6"/>
    <w:qFormat/>
    <w:uiPriority w:val="0"/>
  </w:style>
  <w:style w:type="paragraph" w:styleId="3">
    <w:name w:val="Balloon Text"/>
    <w:basedOn w:val="1"/>
    <w:link w:val="30"/>
    <w:qFormat/>
    <w:uiPriority w:val="0"/>
    <w:rPr>
      <w:sz w:val="18"/>
      <w:szCs w:val="18"/>
    </w:rPr>
  </w:style>
  <w:style w:type="paragraph" w:styleId="4">
    <w:name w:val="footer"/>
    <w:basedOn w:val="1"/>
    <w:unhideWhenUsed/>
    <w:qFormat/>
    <w:uiPriority w:val="99"/>
    <w:pPr>
      <w:tabs>
        <w:tab w:val="center" w:pos="4153"/>
        <w:tab w:val="right" w:pos="8306"/>
      </w:tabs>
      <w:snapToGrid w:val="0"/>
    </w:pPr>
    <w:rPr>
      <w:rFonts w:eastAsiaTheme="minorEastAsia"/>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annotation subject"/>
    <w:basedOn w:val="2"/>
    <w:next w:val="2"/>
    <w:link w:val="37"/>
    <w:qFormat/>
    <w:uiPriority w:val="0"/>
    <w:rPr>
      <w:b/>
      <w:bCs/>
    </w:rPr>
  </w:style>
  <w:style w:type="character" w:styleId="9">
    <w:name w:val="annotation reference"/>
    <w:basedOn w:val="8"/>
    <w:qFormat/>
    <w:uiPriority w:val="0"/>
    <w:rPr>
      <w:sz w:val="21"/>
      <w:szCs w:val="21"/>
    </w:rPr>
  </w:style>
  <w:style w:type="character" w:customStyle="1" w:styleId="10">
    <w:name w:val="Body text|1_"/>
    <w:basedOn w:val="8"/>
    <w:link w:val="11"/>
    <w:qFormat/>
    <w:uiPriority w:val="0"/>
    <w:rPr>
      <w:rFonts w:ascii="宋体" w:hAnsi="宋体" w:eastAsia="宋体" w:cs="宋体"/>
      <w:sz w:val="30"/>
      <w:szCs w:val="30"/>
      <w:u w:val="none"/>
      <w:shd w:val="clear" w:color="auto" w:fill="auto"/>
      <w:lang w:val="zh-TW" w:eastAsia="zh-TW" w:bidi="zh-TW"/>
    </w:rPr>
  </w:style>
  <w:style w:type="paragraph" w:customStyle="1" w:styleId="11">
    <w:name w:val="Body text|1"/>
    <w:basedOn w:val="1"/>
    <w:link w:val="10"/>
    <w:qFormat/>
    <w:uiPriority w:val="0"/>
    <w:pPr>
      <w:spacing w:line="413" w:lineRule="auto"/>
      <w:ind w:firstLine="400"/>
    </w:pPr>
    <w:rPr>
      <w:rFonts w:ascii="宋体" w:hAnsi="宋体" w:eastAsia="宋体" w:cs="宋体"/>
      <w:sz w:val="30"/>
      <w:szCs w:val="30"/>
      <w:lang w:val="zh-TW" w:eastAsia="zh-TW" w:bidi="zh-TW"/>
    </w:rPr>
  </w:style>
  <w:style w:type="character" w:customStyle="1" w:styleId="12">
    <w:name w:val="Header or footer|2_"/>
    <w:basedOn w:val="8"/>
    <w:link w:val="13"/>
    <w:qFormat/>
    <w:uiPriority w:val="0"/>
    <w:rPr>
      <w:sz w:val="20"/>
      <w:szCs w:val="20"/>
      <w:u w:val="none"/>
      <w:shd w:val="clear" w:color="auto" w:fill="auto"/>
      <w:lang w:val="zh-TW" w:eastAsia="zh-TW" w:bidi="zh-TW"/>
    </w:rPr>
  </w:style>
  <w:style w:type="paragraph" w:customStyle="1" w:styleId="13">
    <w:name w:val="Header or footer|2"/>
    <w:basedOn w:val="1"/>
    <w:link w:val="12"/>
    <w:qFormat/>
    <w:uiPriority w:val="0"/>
    <w:rPr>
      <w:sz w:val="20"/>
      <w:szCs w:val="20"/>
      <w:lang w:val="zh-TW" w:eastAsia="zh-TW" w:bidi="zh-TW"/>
    </w:rPr>
  </w:style>
  <w:style w:type="character" w:customStyle="1" w:styleId="14">
    <w:name w:val="Heading #1|1_"/>
    <w:basedOn w:val="8"/>
    <w:link w:val="15"/>
    <w:qFormat/>
    <w:uiPriority w:val="0"/>
    <w:rPr>
      <w:rFonts w:ascii="宋体" w:hAnsi="宋体" w:eastAsia="宋体" w:cs="宋体"/>
      <w:sz w:val="34"/>
      <w:szCs w:val="34"/>
      <w:u w:val="none"/>
      <w:shd w:val="clear" w:color="auto" w:fill="auto"/>
      <w:lang w:val="zh-TW" w:eastAsia="zh-TW" w:bidi="zh-TW"/>
    </w:rPr>
  </w:style>
  <w:style w:type="paragraph" w:customStyle="1" w:styleId="15">
    <w:name w:val="Heading #1|1"/>
    <w:basedOn w:val="1"/>
    <w:link w:val="14"/>
    <w:qFormat/>
    <w:uiPriority w:val="0"/>
    <w:pPr>
      <w:spacing w:after="250" w:line="576" w:lineRule="exact"/>
      <w:jc w:val="center"/>
      <w:outlineLvl w:val="0"/>
    </w:pPr>
    <w:rPr>
      <w:rFonts w:ascii="宋体" w:hAnsi="宋体" w:eastAsia="宋体" w:cs="宋体"/>
      <w:sz w:val="34"/>
      <w:szCs w:val="34"/>
      <w:lang w:val="zh-TW" w:eastAsia="zh-TW" w:bidi="zh-TW"/>
    </w:rPr>
  </w:style>
  <w:style w:type="character" w:customStyle="1" w:styleId="16">
    <w:name w:val="Other|1_"/>
    <w:basedOn w:val="8"/>
    <w:link w:val="17"/>
    <w:qFormat/>
    <w:uiPriority w:val="0"/>
    <w:rPr>
      <w:rFonts w:ascii="宋体" w:hAnsi="宋体" w:eastAsia="宋体" w:cs="宋体"/>
      <w:sz w:val="30"/>
      <w:szCs w:val="30"/>
      <w:u w:val="none"/>
      <w:shd w:val="clear" w:color="auto" w:fill="auto"/>
      <w:lang w:val="zh-TW" w:eastAsia="zh-TW" w:bidi="zh-TW"/>
    </w:rPr>
  </w:style>
  <w:style w:type="paragraph" w:customStyle="1" w:styleId="17">
    <w:name w:val="Other|1"/>
    <w:basedOn w:val="1"/>
    <w:link w:val="16"/>
    <w:qFormat/>
    <w:uiPriority w:val="0"/>
    <w:pPr>
      <w:spacing w:line="413" w:lineRule="auto"/>
      <w:ind w:firstLine="400"/>
    </w:pPr>
    <w:rPr>
      <w:rFonts w:ascii="宋体" w:hAnsi="宋体" w:eastAsia="宋体" w:cs="宋体"/>
      <w:sz w:val="30"/>
      <w:szCs w:val="30"/>
      <w:lang w:val="zh-TW" w:eastAsia="zh-TW" w:bidi="zh-TW"/>
    </w:rPr>
  </w:style>
  <w:style w:type="character" w:customStyle="1" w:styleId="18">
    <w:name w:val="Other|2_"/>
    <w:basedOn w:val="8"/>
    <w:link w:val="19"/>
    <w:qFormat/>
    <w:uiPriority w:val="0"/>
    <w:rPr>
      <w:rFonts w:ascii="宋体" w:hAnsi="宋体" w:eastAsia="宋体" w:cs="宋体"/>
      <w:b/>
      <w:bCs/>
      <w:sz w:val="22"/>
      <w:szCs w:val="22"/>
      <w:u w:val="none"/>
      <w:shd w:val="clear" w:color="auto" w:fill="auto"/>
      <w:lang w:val="zh-TW" w:eastAsia="zh-TW" w:bidi="zh-TW"/>
    </w:rPr>
  </w:style>
  <w:style w:type="paragraph" w:customStyle="1" w:styleId="19">
    <w:name w:val="Other|2"/>
    <w:basedOn w:val="1"/>
    <w:link w:val="18"/>
    <w:qFormat/>
    <w:uiPriority w:val="0"/>
    <w:rPr>
      <w:rFonts w:ascii="宋体" w:hAnsi="宋体" w:eastAsia="宋体" w:cs="宋体"/>
      <w:b/>
      <w:bCs/>
      <w:sz w:val="22"/>
      <w:szCs w:val="22"/>
      <w:lang w:val="zh-TW" w:eastAsia="zh-TW" w:bidi="zh-TW"/>
    </w:rPr>
  </w:style>
  <w:style w:type="character" w:customStyle="1" w:styleId="20">
    <w:name w:val="Body text|3_"/>
    <w:basedOn w:val="8"/>
    <w:link w:val="21"/>
    <w:qFormat/>
    <w:uiPriority w:val="0"/>
    <w:rPr>
      <w:rFonts w:ascii="宋体" w:hAnsi="宋体" w:eastAsia="宋体" w:cs="宋体"/>
      <w:sz w:val="22"/>
      <w:szCs w:val="22"/>
      <w:u w:val="none"/>
      <w:shd w:val="clear" w:color="auto" w:fill="auto"/>
      <w:lang w:val="zh-TW" w:eastAsia="zh-TW" w:bidi="zh-TW"/>
    </w:rPr>
  </w:style>
  <w:style w:type="paragraph" w:customStyle="1" w:styleId="21">
    <w:name w:val="Body text|3"/>
    <w:basedOn w:val="1"/>
    <w:link w:val="20"/>
    <w:qFormat/>
    <w:uiPriority w:val="0"/>
    <w:pPr>
      <w:jc w:val="center"/>
    </w:pPr>
    <w:rPr>
      <w:rFonts w:ascii="宋体" w:hAnsi="宋体" w:eastAsia="宋体" w:cs="宋体"/>
      <w:sz w:val="22"/>
      <w:szCs w:val="22"/>
      <w:lang w:val="zh-TW" w:eastAsia="zh-TW" w:bidi="zh-TW"/>
    </w:rPr>
  </w:style>
  <w:style w:type="character" w:customStyle="1" w:styleId="22">
    <w:name w:val="Table caption|1_"/>
    <w:basedOn w:val="8"/>
    <w:link w:val="23"/>
    <w:qFormat/>
    <w:uiPriority w:val="0"/>
    <w:rPr>
      <w:rFonts w:ascii="宋体" w:hAnsi="宋体" w:eastAsia="宋体" w:cs="宋体"/>
      <w:sz w:val="22"/>
      <w:szCs w:val="22"/>
      <w:u w:val="none"/>
      <w:shd w:val="clear" w:color="auto" w:fill="auto"/>
      <w:lang w:val="zh-TW" w:eastAsia="zh-TW" w:bidi="zh-TW"/>
    </w:rPr>
  </w:style>
  <w:style w:type="paragraph" w:customStyle="1" w:styleId="23">
    <w:name w:val="Table caption|1"/>
    <w:basedOn w:val="1"/>
    <w:link w:val="22"/>
    <w:qFormat/>
    <w:uiPriority w:val="0"/>
    <w:rPr>
      <w:rFonts w:ascii="宋体" w:hAnsi="宋体" w:eastAsia="宋体" w:cs="宋体"/>
      <w:sz w:val="22"/>
      <w:szCs w:val="22"/>
      <w:lang w:val="zh-TW" w:eastAsia="zh-TW" w:bidi="zh-TW"/>
    </w:rPr>
  </w:style>
  <w:style w:type="character" w:customStyle="1" w:styleId="24">
    <w:name w:val="Header or footer|1_"/>
    <w:basedOn w:val="8"/>
    <w:link w:val="25"/>
    <w:qFormat/>
    <w:uiPriority w:val="0"/>
    <w:rPr>
      <w:rFonts w:ascii="宋体" w:hAnsi="宋体" w:eastAsia="宋体" w:cs="宋体"/>
      <w:sz w:val="20"/>
      <w:szCs w:val="20"/>
      <w:u w:val="none"/>
      <w:shd w:val="clear" w:color="auto" w:fill="auto"/>
      <w:lang w:val="zh-TW" w:eastAsia="zh-TW" w:bidi="zh-TW"/>
    </w:rPr>
  </w:style>
  <w:style w:type="paragraph" w:customStyle="1" w:styleId="25">
    <w:name w:val="Header or footer|1"/>
    <w:basedOn w:val="1"/>
    <w:link w:val="24"/>
    <w:qFormat/>
    <w:uiPriority w:val="0"/>
    <w:rPr>
      <w:rFonts w:ascii="宋体" w:hAnsi="宋体" w:eastAsia="宋体" w:cs="宋体"/>
      <w:sz w:val="20"/>
      <w:szCs w:val="20"/>
      <w:lang w:val="zh-TW" w:eastAsia="zh-TW" w:bidi="zh-TW"/>
    </w:rPr>
  </w:style>
  <w:style w:type="character" w:customStyle="1" w:styleId="26">
    <w:name w:val="Body text|2_"/>
    <w:basedOn w:val="8"/>
    <w:link w:val="27"/>
    <w:qFormat/>
    <w:uiPriority w:val="0"/>
    <w:rPr>
      <w:rFonts w:ascii="宋体" w:hAnsi="宋体" w:eastAsia="宋体" w:cs="宋体"/>
      <w:sz w:val="17"/>
      <w:szCs w:val="17"/>
      <w:u w:val="none"/>
      <w:shd w:val="clear" w:color="auto" w:fill="auto"/>
      <w:lang w:val="zh-TW" w:eastAsia="zh-TW" w:bidi="zh-TW"/>
    </w:rPr>
  </w:style>
  <w:style w:type="paragraph" w:customStyle="1" w:styleId="27">
    <w:name w:val="Body text|2"/>
    <w:basedOn w:val="1"/>
    <w:link w:val="26"/>
    <w:qFormat/>
    <w:uiPriority w:val="0"/>
    <w:rPr>
      <w:rFonts w:ascii="宋体" w:hAnsi="宋体" w:eastAsia="宋体" w:cs="宋体"/>
      <w:sz w:val="17"/>
      <w:szCs w:val="17"/>
      <w:lang w:val="zh-TW" w:eastAsia="zh-TW" w:bidi="zh-TW"/>
    </w:rPr>
  </w:style>
  <w:style w:type="paragraph" w:customStyle="1" w:styleId="28">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29">
    <w:name w:val="font81"/>
    <w:basedOn w:val="8"/>
    <w:qFormat/>
    <w:uiPriority w:val="0"/>
    <w:rPr>
      <w:rFonts w:hint="eastAsia" w:ascii="宋体" w:hAnsi="宋体" w:eastAsia="宋体" w:cs="宋体"/>
      <w:color w:val="000000"/>
      <w:sz w:val="20"/>
      <w:szCs w:val="20"/>
      <w:u w:val="none"/>
    </w:rPr>
  </w:style>
  <w:style w:type="character" w:customStyle="1" w:styleId="30">
    <w:name w:val="批注框文本 Char"/>
    <w:basedOn w:val="8"/>
    <w:link w:val="3"/>
    <w:qFormat/>
    <w:uiPriority w:val="0"/>
    <w:rPr>
      <w:rFonts w:ascii="Times New Roman" w:hAnsi="Times New Roman" w:eastAsia="Times New Roman"/>
      <w:color w:val="000000"/>
      <w:sz w:val="18"/>
      <w:szCs w:val="18"/>
      <w:lang w:eastAsia="en-US" w:bidi="en-US"/>
    </w:rPr>
  </w:style>
  <w:style w:type="character" w:customStyle="1" w:styleId="31">
    <w:name w:val="font31"/>
    <w:basedOn w:val="8"/>
    <w:qFormat/>
    <w:uiPriority w:val="0"/>
    <w:rPr>
      <w:rFonts w:hint="default" w:ascii="仿宋_GB2312" w:eastAsia="仿宋_GB2312" w:cs="仿宋_GB2312"/>
      <w:color w:val="000000"/>
      <w:sz w:val="18"/>
      <w:szCs w:val="18"/>
      <w:u w:val="none"/>
    </w:rPr>
  </w:style>
  <w:style w:type="character" w:customStyle="1" w:styleId="32">
    <w:name w:val="font11"/>
    <w:basedOn w:val="8"/>
    <w:qFormat/>
    <w:uiPriority w:val="0"/>
    <w:rPr>
      <w:rFonts w:hint="default" w:ascii="Times New Roman" w:hAnsi="Times New Roman" w:cs="Times New Roman"/>
      <w:color w:val="000000"/>
      <w:sz w:val="18"/>
      <w:szCs w:val="18"/>
      <w:u w:val="none"/>
    </w:rPr>
  </w:style>
  <w:style w:type="character" w:customStyle="1" w:styleId="33">
    <w:name w:val="font21"/>
    <w:basedOn w:val="8"/>
    <w:qFormat/>
    <w:uiPriority w:val="0"/>
    <w:rPr>
      <w:rFonts w:hint="eastAsia" w:ascii="宋体" w:hAnsi="宋体" w:eastAsia="宋体" w:cs="宋体"/>
      <w:color w:val="000000"/>
      <w:sz w:val="18"/>
      <w:szCs w:val="18"/>
      <w:u w:val="none"/>
    </w:rPr>
  </w:style>
  <w:style w:type="character" w:customStyle="1" w:styleId="34">
    <w:name w:val="font51"/>
    <w:basedOn w:val="8"/>
    <w:qFormat/>
    <w:uiPriority w:val="0"/>
    <w:rPr>
      <w:rFonts w:hint="eastAsia" w:ascii="宋体" w:hAnsi="宋体" w:eastAsia="宋体" w:cs="宋体"/>
      <w:color w:val="FF0000"/>
      <w:sz w:val="18"/>
      <w:szCs w:val="18"/>
      <w:u w:val="none"/>
    </w:rPr>
  </w:style>
  <w:style w:type="character" w:customStyle="1" w:styleId="35">
    <w:name w:val="font61"/>
    <w:basedOn w:val="8"/>
    <w:qFormat/>
    <w:uiPriority w:val="0"/>
    <w:rPr>
      <w:rFonts w:hint="default" w:ascii="仿宋_GB2312" w:eastAsia="仿宋_GB2312" w:cs="仿宋_GB2312"/>
      <w:color w:val="FF0000"/>
      <w:sz w:val="18"/>
      <w:szCs w:val="18"/>
      <w:u w:val="none"/>
    </w:rPr>
  </w:style>
  <w:style w:type="character" w:customStyle="1" w:styleId="36">
    <w:name w:val="批注文字 Char"/>
    <w:basedOn w:val="8"/>
    <w:link w:val="2"/>
    <w:qFormat/>
    <w:uiPriority w:val="0"/>
    <w:rPr>
      <w:rFonts w:eastAsia="Times New Roman"/>
      <w:color w:val="000000"/>
      <w:sz w:val="24"/>
      <w:szCs w:val="24"/>
      <w:lang w:eastAsia="en-US" w:bidi="en-US"/>
    </w:rPr>
  </w:style>
  <w:style w:type="character" w:customStyle="1" w:styleId="37">
    <w:name w:val="批注主题 Char"/>
    <w:basedOn w:val="36"/>
    <w:link w:val="6"/>
    <w:qFormat/>
    <w:uiPriority w:val="0"/>
    <w:rPr>
      <w:rFonts w:eastAsia="Times New Roman"/>
      <w:b/>
      <w:bCs/>
      <w:color w:val="000000"/>
      <w:sz w:val="24"/>
      <w:szCs w:val="24"/>
      <w:lang w:eastAsia="en-US" w:bidi="en-US"/>
    </w:rPr>
  </w:style>
  <w:style w:type="character" w:customStyle="1" w:styleId="38">
    <w:name w:val="font41"/>
    <w:basedOn w:val="8"/>
    <w:qFormat/>
    <w:uiPriority w:val="0"/>
    <w:rPr>
      <w:rFonts w:hint="eastAsia" w:ascii="宋体" w:hAnsi="宋体" w:eastAsia="宋体" w:cs="宋体"/>
      <w:color w:val="000000"/>
      <w:sz w:val="20"/>
      <w:szCs w:val="20"/>
      <w:u w:val="none"/>
    </w:rPr>
  </w:style>
  <w:style w:type="paragraph" w:styleId="3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674</Words>
  <Characters>3843</Characters>
  <Lines>32</Lines>
  <Paragraphs>9</Paragraphs>
  <TotalTime>0</TotalTime>
  <ScaleCrop>false</ScaleCrop>
  <LinksUpToDate>false</LinksUpToDate>
  <CharactersWithSpaces>4508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2021-08-06T09:17:00Z</dcterms:created>
  <dc:creator>Administrator</dc:creator>
  <cp:lastModifiedBy>Administrator</cp:lastModifiedBy>
  <cp:lastPrinted>2021-07-14T02:23:00Z</cp:lastPrinted>
  <dcterms:modified xsi:type="dcterms:W3CDTF">2021-10-25T07:04:19Z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ribbonExt">
    <vt:lpwstr>{"WPSExtOfficeTab":{"OnGetEnabled":false,"OnGetVisible":false}}</vt:lpwstr>
  </property>
  <property fmtid="{D5CDD505-2E9C-101B-9397-08002B2CF9AE}" pid="4" name="ICV">
    <vt:lpwstr>CFFF54D442BA4750AAF2980731C9029C</vt:lpwstr>
  </property>
</Properties>
</file>