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 w:cs="Times New Roman"/>
          <w:b/>
          <w:bCs/>
          <w:sz w:val="52"/>
          <w:szCs w:val="52"/>
          <w:lang w:val="en-US" w:eastAsia="zh-CN"/>
        </w:rPr>
        <w:t>2021年翁源县森林督查暨森林资源管理“一张图”年度更新项目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部门</w:t>
      </w:r>
      <w:r>
        <w:rPr>
          <w:rFonts w:hint="eastAsia" w:ascii="仿宋_GB2312" w:hAnsi="宋体" w:eastAsia="仿宋_GB2312"/>
          <w:sz w:val="32"/>
        </w:rPr>
        <w:t>名称</w:t>
      </w:r>
      <w:r>
        <w:rPr>
          <w:rFonts w:hint="eastAsia" w:ascii="仿宋_GB2312" w:hAnsi="宋体" w:eastAsia="仿宋_GB2312"/>
          <w:sz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lang w:val="en-US" w:eastAsia="zh-CN"/>
        </w:rPr>
        <w:t>翁源县林业局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填报人：</w:t>
      </w:r>
      <w:r>
        <w:rPr>
          <w:rFonts w:hint="eastAsia" w:ascii="仿宋_GB2312" w:hAnsi="宋体"/>
          <w:sz w:val="32"/>
          <w:lang w:eastAsia="zh-CN"/>
        </w:rPr>
        <w:t>曾国洪</w:t>
      </w:r>
    </w:p>
    <w:p>
      <w:pPr>
        <w:spacing w:line="720" w:lineRule="auto"/>
        <w:ind w:firstLine="1600" w:firstLineChars="500"/>
        <w:rPr>
          <w:rFonts w:hint="default" w:ascii="仿宋_GB2312" w:hAnsi="宋体" w:eastAsia="仿宋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" w:hAnsi="仿宋" w:eastAsia="仿宋"/>
          <w:sz w:val="32"/>
          <w:szCs w:val="32"/>
        </w:rPr>
        <w:t>0751-287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3917</w:t>
      </w:r>
    </w:p>
    <w:p>
      <w:pPr>
        <w:spacing w:line="720" w:lineRule="auto"/>
        <w:ind w:firstLine="1280" w:firstLineChars="4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填报日期：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</w:t>
      </w:r>
      <w:r>
        <w:rPr>
          <w:rFonts w:ascii="仿宋" w:hAnsi="仿宋" w:eastAsia="仿宋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</w:t>
      </w: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72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720" w:lineRule="auto"/>
        <w:ind w:firstLine="602" w:firstLineChars="200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一、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基本情况</w:t>
      </w:r>
    </w:p>
    <w:p>
      <w:pPr>
        <w:numPr>
          <w:ilvl w:val="0"/>
          <w:numId w:val="1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基本</w:t>
      </w:r>
      <w:r>
        <w:rPr>
          <w:rFonts w:hint="eastAsia" w:ascii="宋体" w:hAnsi="宋体" w:eastAsia="宋体" w:cs="宋体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2021年翁源县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森林督查暨森林资源管理“一张图”年度更新</w:t>
      </w:r>
      <w:r>
        <w:rPr>
          <w:rFonts w:hint="eastAsia" w:ascii="宋体" w:hAnsi="宋体" w:eastAsia="宋体" w:cs="宋体"/>
          <w:sz w:val="32"/>
          <w:szCs w:val="32"/>
        </w:rPr>
        <w:t>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，涉及我县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8镇林业用地面积约245万亩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，本年度计划支出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50万元。</w:t>
      </w:r>
    </w:p>
    <w:p>
      <w:pPr>
        <w:numPr>
          <w:ilvl w:val="0"/>
          <w:numId w:val="1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决策</w:t>
      </w:r>
      <w:r>
        <w:rPr>
          <w:rFonts w:hint="eastAsia" w:ascii="宋体" w:hAnsi="宋体" w:eastAsia="宋体" w:cs="宋体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国家林草局、省林业局发文要求，常态化管理政策。</w:t>
      </w:r>
    </w:p>
    <w:p>
      <w:pPr>
        <w:numPr>
          <w:ilvl w:val="0"/>
          <w:numId w:val="1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对我县约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245万亩林业用地开展现地核实、查处、调整、整改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本年度支出50万元。</w:t>
      </w:r>
    </w:p>
    <w:p>
      <w:pPr>
        <w:numPr>
          <w:ilvl w:val="0"/>
          <w:numId w:val="2"/>
        </w:num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绩效自评工作组织情况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（一）前期准备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县林业局组织相关工作人员，学习和解读了《关于做好2021年度涉农资金绩效评价工作的通知》等涉及本次绩效评价工作的政策文件，分发给工作组每一位成员，要求大家全面深入学习，确保评价工作开展前充分把握相关政策文件。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（二）组织过程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项目组在前期现场调研的基础上，完成了项目绩效评价工作方案，按规定要求设计了指标体系、评价标准等，明确了评价的目的、方法、评价原则。项目组严格按照工作方案，通过调研、相关文件的解读、数据采集、数据分析、指标评分和报告撰写等环节，顺利完成了本次绩效评价工作。</w:t>
      </w:r>
    </w:p>
    <w:p>
      <w:pPr>
        <w:numPr>
          <w:ilvl w:val="0"/>
          <w:numId w:val="2"/>
        </w:numPr>
        <w:snapToGrid w:val="0"/>
        <w:spacing w:line="360" w:lineRule="auto"/>
        <w:ind w:left="0" w:leftChars="0" w:firstLine="643" w:firstLineChars="200"/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绩效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自评结论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经过认真组织、精心实施、严格管理，项目实施取得了较好成效。本次项目自评等级为优，自评分数为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98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分。</w:t>
      </w:r>
    </w:p>
    <w:p>
      <w:pPr>
        <w:numPr>
          <w:ilvl w:val="0"/>
          <w:numId w:val="0"/>
        </w:num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四、绩效指标分析</w:t>
      </w:r>
    </w:p>
    <w:p>
      <w:pPr>
        <w:numPr>
          <w:ilvl w:val="0"/>
          <w:numId w:val="3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决策</w:t>
      </w:r>
      <w:r>
        <w:rPr>
          <w:rFonts w:hint="eastAsia" w:ascii="宋体" w:hAnsi="宋体" w:eastAsia="宋体" w:cs="宋体"/>
          <w:sz w:val="32"/>
          <w:szCs w:val="32"/>
        </w:rPr>
        <w:t>分析。</w:t>
      </w:r>
    </w:p>
    <w:p>
      <w:pPr>
        <w:numPr>
          <w:ilvl w:val="0"/>
          <w:numId w:val="0"/>
        </w:numPr>
        <w:snapToGrid w:val="0"/>
        <w:spacing w:line="360" w:lineRule="auto"/>
        <w:ind w:left="640" w:left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1.项目立项情况。</w:t>
      </w:r>
    </w:p>
    <w:p>
      <w:pPr>
        <w:numPr>
          <w:ilvl w:val="0"/>
          <w:numId w:val="4"/>
        </w:numPr>
        <w:snapToGrid w:val="0"/>
        <w:spacing w:line="360" w:lineRule="auto"/>
        <w:ind w:left="640" w:left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论证决策：</w:t>
      </w:r>
      <w:r>
        <w:rPr>
          <w:rFonts w:hint="eastAsia" w:ascii="仿宋" w:hAnsi="仿宋" w:eastAsia="仿宋"/>
          <w:sz w:val="32"/>
          <w:szCs w:val="32"/>
        </w:rPr>
        <w:t>论证充分，经专家论证可行</w:t>
      </w:r>
      <w:r>
        <w:rPr>
          <w:rFonts w:hint="eastAsia" w:ascii="仿宋" w:hAnsi="仿宋" w:eastAsia="仿宋"/>
          <w:sz w:val="32"/>
          <w:szCs w:val="32"/>
          <w:lang w:eastAsia="zh-CN"/>
        </w:rPr>
        <w:t>，得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4分。</w:t>
      </w:r>
    </w:p>
    <w:p>
      <w:pPr>
        <w:numPr>
          <w:ilvl w:val="0"/>
          <w:numId w:val="4"/>
        </w:numPr>
        <w:snapToGrid w:val="0"/>
        <w:spacing w:line="360" w:lineRule="auto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目标设置：</w:t>
      </w:r>
      <w:r>
        <w:rPr>
          <w:rFonts w:hint="eastAsia" w:ascii="仿宋" w:hAnsi="仿宋" w:eastAsia="仿宋"/>
          <w:sz w:val="32"/>
          <w:szCs w:val="32"/>
        </w:rPr>
        <w:t>包括完整性、合理性、可衡量性，合乎客观实际</w:t>
      </w:r>
      <w:r>
        <w:rPr>
          <w:rFonts w:hint="eastAsia" w:ascii="仿宋" w:hAnsi="仿宋" w:eastAsia="仿宋"/>
          <w:sz w:val="32"/>
          <w:szCs w:val="32"/>
          <w:lang w:eastAsia="zh-CN"/>
        </w:rPr>
        <w:t>，得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6分。</w:t>
      </w:r>
    </w:p>
    <w:p>
      <w:pPr>
        <w:numPr>
          <w:ilvl w:val="0"/>
          <w:numId w:val="4"/>
        </w:numPr>
        <w:snapToGrid w:val="0"/>
        <w:spacing w:line="360" w:lineRule="auto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保障措施：</w:t>
      </w:r>
      <w:r>
        <w:rPr>
          <w:rFonts w:hint="eastAsia" w:ascii="仿宋" w:hAnsi="仿宋" w:eastAsia="仿宋"/>
          <w:sz w:val="32"/>
          <w:szCs w:val="32"/>
        </w:rPr>
        <w:t>制度完整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计划安排合理</w:t>
      </w:r>
      <w:r>
        <w:rPr>
          <w:rFonts w:hint="eastAsia" w:ascii="仿宋" w:hAnsi="仿宋" w:eastAsia="仿宋"/>
          <w:sz w:val="32"/>
          <w:szCs w:val="32"/>
          <w:lang w:eastAsia="zh-CN"/>
        </w:rPr>
        <w:t>，得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2分。</w:t>
      </w:r>
    </w:p>
    <w:p>
      <w:pPr>
        <w:numPr>
          <w:ilvl w:val="0"/>
          <w:numId w:val="0"/>
        </w:numPr>
        <w:snapToGrid w:val="0"/>
        <w:spacing w:line="360" w:lineRule="auto"/>
        <w:ind w:left="640" w:left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2.资金落实情况。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（1）资金到位：含资金到位率、资金到位及时性，得5分。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（2）资金分配：含资金分配合理性，得3分。</w:t>
      </w:r>
    </w:p>
    <w:p>
      <w:pPr>
        <w:numPr>
          <w:ilvl w:val="0"/>
          <w:numId w:val="3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管理分析</w:t>
      </w:r>
    </w:p>
    <w:p>
      <w:pPr>
        <w:numPr>
          <w:ilvl w:val="0"/>
          <w:numId w:val="5"/>
        </w:numPr>
        <w:snapToGrid w:val="0"/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资金管理。</w:t>
      </w:r>
    </w:p>
    <w:p>
      <w:pPr>
        <w:numPr>
          <w:ilvl w:val="0"/>
          <w:numId w:val="6"/>
        </w:numPr>
        <w:snapToGrid w:val="0"/>
        <w:spacing w:line="360" w:lineRule="auto"/>
        <w:ind w:left="640" w:leftChars="0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资金支付：</w:t>
      </w:r>
      <w:r>
        <w:rPr>
          <w:rFonts w:hint="eastAsia" w:ascii="仿宋" w:hAnsi="仿宋" w:eastAsia="仿宋"/>
          <w:sz w:val="32"/>
          <w:szCs w:val="32"/>
        </w:rPr>
        <w:t>含资金支出率，得6分。</w:t>
      </w:r>
    </w:p>
    <w:p>
      <w:pPr>
        <w:numPr>
          <w:ilvl w:val="0"/>
          <w:numId w:val="6"/>
        </w:numPr>
        <w:snapToGrid w:val="0"/>
        <w:spacing w:line="360" w:lineRule="auto"/>
        <w:ind w:left="640" w:leftChars="0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支出规范性：</w:t>
      </w:r>
      <w:r>
        <w:rPr>
          <w:rFonts w:hint="eastAsia" w:ascii="仿宋" w:hAnsi="仿宋" w:eastAsia="仿宋"/>
          <w:sz w:val="32"/>
          <w:szCs w:val="32"/>
        </w:rPr>
        <w:t>含支出规范性，得6分。</w:t>
      </w:r>
    </w:p>
    <w:p>
      <w:pPr>
        <w:numPr>
          <w:ilvl w:val="0"/>
          <w:numId w:val="5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事项管理。</w:t>
      </w:r>
    </w:p>
    <w:p>
      <w:pPr>
        <w:numPr>
          <w:ilvl w:val="0"/>
          <w:numId w:val="7"/>
        </w:numPr>
        <w:snapToGrid w:val="0"/>
        <w:spacing w:line="360" w:lineRule="auto"/>
        <w:ind w:left="580" w:leftChars="0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实施程序:</w:t>
      </w:r>
      <w:r>
        <w:rPr>
          <w:rFonts w:hint="eastAsia" w:ascii="仿宋" w:hAnsi="仿宋" w:eastAsia="仿宋"/>
          <w:sz w:val="32"/>
          <w:szCs w:val="32"/>
        </w:rPr>
        <w:t>含程序规范性，得4分。</w:t>
      </w:r>
    </w:p>
    <w:p>
      <w:pPr>
        <w:numPr>
          <w:ilvl w:val="0"/>
          <w:numId w:val="7"/>
        </w:numPr>
        <w:snapToGrid w:val="0"/>
        <w:spacing w:line="360" w:lineRule="auto"/>
        <w:ind w:left="580" w:leftChars="0" w:firstLine="0" w:firstLineChars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管理情况:</w:t>
      </w:r>
      <w:r>
        <w:rPr>
          <w:rFonts w:hint="eastAsia" w:ascii="仿宋" w:hAnsi="仿宋" w:eastAsia="仿宋"/>
          <w:sz w:val="32"/>
          <w:szCs w:val="32"/>
        </w:rPr>
        <w:t>含监管有效性，得4分。</w:t>
      </w:r>
    </w:p>
    <w:p>
      <w:pPr>
        <w:numPr>
          <w:ilvl w:val="0"/>
          <w:numId w:val="3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产出分析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1.经济性:含预算控制，得3分；含成本控制，得2分。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2.效率性：</w:t>
      </w:r>
      <w:r>
        <w:rPr>
          <w:rFonts w:hint="eastAsia" w:ascii="仿宋" w:hAnsi="仿宋" w:eastAsia="仿宋"/>
          <w:sz w:val="32"/>
          <w:szCs w:val="32"/>
        </w:rPr>
        <w:t>完成进度、完成质量，含个性指标，本项目已实施完成，得25分。</w:t>
      </w:r>
    </w:p>
    <w:p>
      <w:pPr>
        <w:numPr>
          <w:ilvl w:val="0"/>
          <w:numId w:val="3"/>
        </w:numPr>
        <w:snapToGrid w:val="0"/>
        <w:spacing w:line="360" w:lineRule="auto"/>
        <w:ind w:left="0" w:leftChars="0"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效益实现度分析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1.效果性：</w:t>
      </w:r>
      <w:r>
        <w:rPr>
          <w:rFonts w:hint="eastAsia" w:ascii="仿宋" w:hAnsi="仿宋" w:eastAsia="仿宋"/>
          <w:sz w:val="32"/>
          <w:szCs w:val="32"/>
        </w:rPr>
        <w:t>经济效益、社会效益、生态效益、可持续性，含个性指标 得2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2.公平性：满意度，含服务对象满意度，得5分。</w:t>
      </w:r>
    </w:p>
    <w:p>
      <w:pPr>
        <w:numPr>
          <w:ilvl w:val="0"/>
          <w:numId w:val="0"/>
        </w:num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五、主要绩效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1、资金到位情况。</w:t>
      </w:r>
      <w:r>
        <w:rPr>
          <w:rFonts w:hint="eastAsia" w:ascii="仿宋" w:hAnsi="仿宋" w:eastAsia="仿宋" w:cs="Times New Roman"/>
          <w:sz w:val="32"/>
          <w:szCs w:val="32"/>
        </w:rPr>
        <w:t>到目前为止，项目资金已全部到位，共合计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Times New Roman"/>
          <w:sz w:val="32"/>
          <w:szCs w:val="32"/>
        </w:rPr>
        <w:t>万元，占应到位资金100%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2、投资完成情况。</w:t>
      </w:r>
      <w:r>
        <w:rPr>
          <w:rFonts w:hint="eastAsia" w:ascii="仿宋" w:hAnsi="仿宋" w:eastAsia="仿宋" w:cs="Times New Roman"/>
          <w:sz w:val="32"/>
          <w:szCs w:val="32"/>
        </w:rPr>
        <w:t>到目前为止，2021年翁源县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森林督查暨森林资源管理“一张图”年度更新</w:t>
      </w:r>
      <w:r>
        <w:rPr>
          <w:rFonts w:hint="eastAsia" w:ascii="仿宋" w:hAnsi="仿宋" w:eastAsia="仿宋" w:cs="Times New Roman"/>
          <w:sz w:val="32"/>
          <w:szCs w:val="32"/>
        </w:rPr>
        <w:t>项目已经全面完成，并按照合同和验收情况，按合同规定完成资金支付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3、资金使用管理情况</w:t>
      </w:r>
      <w:r>
        <w:rPr>
          <w:rFonts w:hint="eastAsia" w:ascii="仿宋" w:hAnsi="仿宋" w:eastAsia="仿宋"/>
          <w:sz w:val="32"/>
          <w:szCs w:val="32"/>
        </w:rPr>
        <w:t xml:space="preserve">。经检查，项目资金使用管理到位、规范，严格按照合同和有关制度验收支付，专款专用，专账核算；执行财政报账制，采用集中支付的方式支付资金，支出凭证合法有效，不存在挪用或其他违规使用资金的现象。 </w:t>
      </w:r>
    </w:p>
    <w:p>
      <w:pPr>
        <w:numPr>
          <w:ilvl w:val="0"/>
          <w:numId w:val="8"/>
        </w:numPr>
        <w:snapToGrid w:val="0"/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经过我县精心组织和实施，项目工程能够如期按要求完成，取得了良好的效果。但仍然存在一些问题，主要表现在：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技术力量欠缺，执法队伍人员不足，查处整改进度拖后。</w:t>
      </w:r>
    </w:p>
    <w:p>
      <w:pPr>
        <w:numPr>
          <w:ilvl w:val="0"/>
          <w:numId w:val="8"/>
        </w:numPr>
        <w:snapToGrid w:val="0"/>
        <w:spacing w:line="360" w:lineRule="auto"/>
        <w:ind w:left="0" w:leftChars="0"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查漏补缺，加大力度对发现违法问题图斑进行整改。</w:t>
      </w:r>
      <w:bookmarkStart w:id="0" w:name="_GoBack"/>
      <w:bookmarkEnd w:id="0"/>
    </w:p>
    <w:p>
      <w:pPr>
        <w:spacing w:line="560" w:lineRule="exact"/>
        <w:rPr>
          <w:rFonts w:eastAsia="仿宋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0" w:h="16840"/>
      <w:pgMar w:top="2315" w:right="1187" w:bottom="2171" w:left="1194" w:header="0" w:footer="1743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44F538"/>
    <w:multiLevelType w:val="singleLevel"/>
    <w:tmpl w:val="DC44F5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CD9284"/>
    <w:multiLevelType w:val="singleLevel"/>
    <w:tmpl w:val="DFCD928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F8CF893"/>
    <w:multiLevelType w:val="singleLevel"/>
    <w:tmpl w:val="FF8CF893"/>
    <w:lvl w:ilvl="0" w:tentative="0">
      <w:start w:val="1"/>
      <w:numFmt w:val="decimal"/>
      <w:suff w:val="nothing"/>
      <w:lvlText w:val="（%1）"/>
      <w:lvlJc w:val="left"/>
      <w:pPr>
        <w:ind w:left="640" w:firstLine="0"/>
      </w:pPr>
    </w:lvl>
  </w:abstractNum>
  <w:abstractNum w:abstractNumId="3">
    <w:nsid w:val="00000010"/>
    <w:multiLevelType w:val="singleLevel"/>
    <w:tmpl w:val="00000010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3698B89C"/>
    <w:multiLevelType w:val="singleLevel"/>
    <w:tmpl w:val="3698B89C"/>
    <w:lvl w:ilvl="0" w:tentative="0">
      <w:start w:val="1"/>
      <w:numFmt w:val="chineseCounting"/>
      <w:suff w:val="nothing"/>
      <w:lvlText w:val="（%1）"/>
      <w:lvlJc w:val="left"/>
    </w:lvl>
  </w:abstractNum>
  <w:abstractNum w:abstractNumId="5">
    <w:nsid w:val="383A8032"/>
    <w:multiLevelType w:val="singleLevel"/>
    <w:tmpl w:val="383A8032"/>
    <w:lvl w:ilvl="0" w:tentative="0">
      <w:start w:val="1"/>
      <w:numFmt w:val="decimal"/>
      <w:suff w:val="nothing"/>
      <w:lvlText w:val="（%1）"/>
      <w:lvlJc w:val="left"/>
      <w:pPr>
        <w:ind w:left="580" w:firstLine="0"/>
      </w:pPr>
    </w:lvl>
  </w:abstractNum>
  <w:abstractNum w:abstractNumId="6">
    <w:nsid w:val="6A8A9274"/>
    <w:multiLevelType w:val="singleLevel"/>
    <w:tmpl w:val="6A8A927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744C6EAB"/>
    <w:multiLevelType w:val="singleLevel"/>
    <w:tmpl w:val="744C6EA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181"/>
  <w:displayHorizont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3D"/>
    <w:rsid w:val="00075938"/>
    <w:rsid w:val="000822AB"/>
    <w:rsid w:val="00094CBE"/>
    <w:rsid w:val="000D1256"/>
    <w:rsid w:val="000D7CED"/>
    <w:rsid w:val="000E344C"/>
    <w:rsid w:val="001149EE"/>
    <w:rsid w:val="00131994"/>
    <w:rsid w:val="001767F0"/>
    <w:rsid w:val="001F7D41"/>
    <w:rsid w:val="00252F27"/>
    <w:rsid w:val="002544CD"/>
    <w:rsid w:val="002A604E"/>
    <w:rsid w:val="002C0EAB"/>
    <w:rsid w:val="002D6D33"/>
    <w:rsid w:val="002E5B91"/>
    <w:rsid w:val="00311755"/>
    <w:rsid w:val="0031684F"/>
    <w:rsid w:val="003246BB"/>
    <w:rsid w:val="00330DB0"/>
    <w:rsid w:val="00366C36"/>
    <w:rsid w:val="00383EF4"/>
    <w:rsid w:val="003A1BA0"/>
    <w:rsid w:val="003B56B1"/>
    <w:rsid w:val="003D4C5E"/>
    <w:rsid w:val="003E6B4F"/>
    <w:rsid w:val="00402D18"/>
    <w:rsid w:val="00414799"/>
    <w:rsid w:val="0041784C"/>
    <w:rsid w:val="00437575"/>
    <w:rsid w:val="00475D86"/>
    <w:rsid w:val="004C5C56"/>
    <w:rsid w:val="004C5F29"/>
    <w:rsid w:val="00550410"/>
    <w:rsid w:val="00570856"/>
    <w:rsid w:val="005C25D5"/>
    <w:rsid w:val="005C4942"/>
    <w:rsid w:val="00605817"/>
    <w:rsid w:val="00605F08"/>
    <w:rsid w:val="006375E4"/>
    <w:rsid w:val="00660FD7"/>
    <w:rsid w:val="0069057A"/>
    <w:rsid w:val="006E3F18"/>
    <w:rsid w:val="006F3B51"/>
    <w:rsid w:val="00730DEA"/>
    <w:rsid w:val="00733E49"/>
    <w:rsid w:val="00756911"/>
    <w:rsid w:val="00765E05"/>
    <w:rsid w:val="00771856"/>
    <w:rsid w:val="00793200"/>
    <w:rsid w:val="007A18C4"/>
    <w:rsid w:val="007C3EE7"/>
    <w:rsid w:val="008046A4"/>
    <w:rsid w:val="00816945"/>
    <w:rsid w:val="00824380"/>
    <w:rsid w:val="00832FC0"/>
    <w:rsid w:val="00864764"/>
    <w:rsid w:val="008D209A"/>
    <w:rsid w:val="009009E6"/>
    <w:rsid w:val="0090578A"/>
    <w:rsid w:val="009123FC"/>
    <w:rsid w:val="00957504"/>
    <w:rsid w:val="0097392B"/>
    <w:rsid w:val="009A1B3D"/>
    <w:rsid w:val="009A2D7E"/>
    <w:rsid w:val="009C18FC"/>
    <w:rsid w:val="009E0E00"/>
    <w:rsid w:val="00A16488"/>
    <w:rsid w:val="00A33602"/>
    <w:rsid w:val="00AB62F8"/>
    <w:rsid w:val="00AB7F62"/>
    <w:rsid w:val="00AD60B6"/>
    <w:rsid w:val="00B8742E"/>
    <w:rsid w:val="00B9400D"/>
    <w:rsid w:val="00BA1111"/>
    <w:rsid w:val="00BC5A29"/>
    <w:rsid w:val="00BC7162"/>
    <w:rsid w:val="00C104B8"/>
    <w:rsid w:val="00C60EB6"/>
    <w:rsid w:val="00C75761"/>
    <w:rsid w:val="00C85982"/>
    <w:rsid w:val="00CA3AB2"/>
    <w:rsid w:val="00D260B8"/>
    <w:rsid w:val="00D521CB"/>
    <w:rsid w:val="00D61917"/>
    <w:rsid w:val="00D66BD8"/>
    <w:rsid w:val="00D702C4"/>
    <w:rsid w:val="00D94288"/>
    <w:rsid w:val="00DC1130"/>
    <w:rsid w:val="00E3142F"/>
    <w:rsid w:val="00E84274"/>
    <w:rsid w:val="00E95851"/>
    <w:rsid w:val="00EB514C"/>
    <w:rsid w:val="00EC37C5"/>
    <w:rsid w:val="00F32E71"/>
    <w:rsid w:val="00F42C4F"/>
    <w:rsid w:val="00F4372C"/>
    <w:rsid w:val="00F67071"/>
    <w:rsid w:val="00F7392C"/>
    <w:rsid w:val="00F91EC0"/>
    <w:rsid w:val="00FB40F7"/>
    <w:rsid w:val="00FB6D4C"/>
    <w:rsid w:val="00FD552C"/>
    <w:rsid w:val="01CF29BD"/>
    <w:rsid w:val="02526176"/>
    <w:rsid w:val="030D5F12"/>
    <w:rsid w:val="03916720"/>
    <w:rsid w:val="05CE7C61"/>
    <w:rsid w:val="05DB3E59"/>
    <w:rsid w:val="05F93D75"/>
    <w:rsid w:val="071C275C"/>
    <w:rsid w:val="07CB7CCC"/>
    <w:rsid w:val="0A9F6DD6"/>
    <w:rsid w:val="0B8A2FE9"/>
    <w:rsid w:val="0C5C6878"/>
    <w:rsid w:val="0C8A716A"/>
    <w:rsid w:val="0EAE3D63"/>
    <w:rsid w:val="10FA7BB3"/>
    <w:rsid w:val="12441427"/>
    <w:rsid w:val="133F400D"/>
    <w:rsid w:val="13612B27"/>
    <w:rsid w:val="149461BE"/>
    <w:rsid w:val="14EC2249"/>
    <w:rsid w:val="16656E43"/>
    <w:rsid w:val="16D0485E"/>
    <w:rsid w:val="172D28F1"/>
    <w:rsid w:val="179F6D9A"/>
    <w:rsid w:val="186F7EC5"/>
    <w:rsid w:val="1A9A0267"/>
    <w:rsid w:val="1AE037A3"/>
    <w:rsid w:val="1AFA476C"/>
    <w:rsid w:val="1B644811"/>
    <w:rsid w:val="1BE43E9A"/>
    <w:rsid w:val="1C7C694A"/>
    <w:rsid w:val="1E7F6D70"/>
    <w:rsid w:val="1F382D31"/>
    <w:rsid w:val="1F4F4FFA"/>
    <w:rsid w:val="209471CD"/>
    <w:rsid w:val="20DA7C4B"/>
    <w:rsid w:val="21315F37"/>
    <w:rsid w:val="21AF2784"/>
    <w:rsid w:val="23CD57C8"/>
    <w:rsid w:val="24B53373"/>
    <w:rsid w:val="275F551A"/>
    <w:rsid w:val="27616E2D"/>
    <w:rsid w:val="277177DC"/>
    <w:rsid w:val="27FB3280"/>
    <w:rsid w:val="282072E3"/>
    <w:rsid w:val="28D3688F"/>
    <w:rsid w:val="28F22ABB"/>
    <w:rsid w:val="298426BB"/>
    <w:rsid w:val="30867043"/>
    <w:rsid w:val="32FD6372"/>
    <w:rsid w:val="35376504"/>
    <w:rsid w:val="360D2CFA"/>
    <w:rsid w:val="37212E11"/>
    <w:rsid w:val="37B55624"/>
    <w:rsid w:val="37DB3C5B"/>
    <w:rsid w:val="384805EC"/>
    <w:rsid w:val="38694817"/>
    <w:rsid w:val="389920DD"/>
    <w:rsid w:val="38B77C60"/>
    <w:rsid w:val="3A5226F3"/>
    <w:rsid w:val="3AC12CF2"/>
    <w:rsid w:val="3B127872"/>
    <w:rsid w:val="3C18343D"/>
    <w:rsid w:val="3CD46039"/>
    <w:rsid w:val="3D801564"/>
    <w:rsid w:val="41346F58"/>
    <w:rsid w:val="41AA5164"/>
    <w:rsid w:val="41D465D2"/>
    <w:rsid w:val="42227054"/>
    <w:rsid w:val="439429B2"/>
    <w:rsid w:val="4480151E"/>
    <w:rsid w:val="45AD6709"/>
    <w:rsid w:val="475F400C"/>
    <w:rsid w:val="48BD659E"/>
    <w:rsid w:val="48CC3585"/>
    <w:rsid w:val="490E6E99"/>
    <w:rsid w:val="4A2A41D5"/>
    <w:rsid w:val="4A5E2439"/>
    <w:rsid w:val="4BA76522"/>
    <w:rsid w:val="4C456BD7"/>
    <w:rsid w:val="4F502CF4"/>
    <w:rsid w:val="4F9B3ABB"/>
    <w:rsid w:val="504332D3"/>
    <w:rsid w:val="51586C8A"/>
    <w:rsid w:val="5436477F"/>
    <w:rsid w:val="545E17F7"/>
    <w:rsid w:val="54F4732F"/>
    <w:rsid w:val="555E1244"/>
    <w:rsid w:val="56D9688F"/>
    <w:rsid w:val="574B78E0"/>
    <w:rsid w:val="57F20492"/>
    <w:rsid w:val="59810D31"/>
    <w:rsid w:val="5C48309F"/>
    <w:rsid w:val="5CEF2DED"/>
    <w:rsid w:val="5DCA50E5"/>
    <w:rsid w:val="5F1E08F7"/>
    <w:rsid w:val="5FBC3C8A"/>
    <w:rsid w:val="601E7231"/>
    <w:rsid w:val="604B60CD"/>
    <w:rsid w:val="61B207CB"/>
    <w:rsid w:val="62BC6011"/>
    <w:rsid w:val="638D04DA"/>
    <w:rsid w:val="63C720AD"/>
    <w:rsid w:val="65DA57DA"/>
    <w:rsid w:val="681D4BFF"/>
    <w:rsid w:val="68695E2D"/>
    <w:rsid w:val="69780A92"/>
    <w:rsid w:val="6A6B2308"/>
    <w:rsid w:val="6AD2007D"/>
    <w:rsid w:val="6C595C9B"/>
    <w:rsid w:val="6E7B79EA"/>
    <w:rsid w:val="6F541DB3"/>
    <w:rsid w:val="6FE96EDE"/>
    <w:rsid w:val="700028F2"/>
    <w:rsid w:val="710E637C"/>
    <w:rsid w:val="72933F3E"/>
    <w:rsid w:val="72AB3308"/>
    <w:rsid w:val="7357190F"/>
    <w:rsid w:val="74375364"/>
    <w:rsid w:val="74DE249E"/>
    <w:rsid w:val="759232BF"/>
    <w:rsid w:val="78AA3340"/>
    <w:rsid w:val="796E0CCF"/>
    <w:rsid w:val="7A9E0079"/>
    <w:rsid w:val="7C067592"/>
    <w:rsid w:val="7D1C14F9"/>
    <w:rsid w:val="7FE1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24"/>
      <w:lang w:val="en-US" w:eastAsia="en-US" w:bidi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6"/>
    <w:qFormat/>
    <w:uiPriority w:val="0"/>
  </w:style>
  <w:style w:type="paragraph" w:styleId="3">
    <w:name w:val="Balloon Text"/>
    <w:basedOn w:val="1"/>
    <w:link w:val="30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eastAsiaTheme="minorEastAsia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6">
    <w:name w:val="annotation subject"/>
    <w:basedOn w:val="2"/>
    <w:next w:val="2"/>
    <w:link w:val="37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Body text|1_"/>
    <w:basedOn w:val="8"/>
    <w:link w:val="11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qFormat/>
    <w:uiPriority w:val="0"/>
    <w:pPr>
      <w:spacing w:line="413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2">
    <w:name w:val="Header or footer|2_"/>
    <w:basedOn w:val="8"/>
    <w:link w:val="13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3">
    <w:name w:val="Header or footer|2"/>
    <w:basedOn w:val="1"/>
    <w:link w:val="12"/>
    <w:qFormat/>
    <w:uiPriority w:val="0"/>
    <w:rPr>
      <w:sz w:val="20"/>
      <w:szCs w:val="20"/>
      <w:lang w:val="zh-TW" w:eastAsia="zh-TW" w:bidi="zh-TW"/>
    </w:rPr>
  </w:style>
  <w:style w:type="character" w:customStyle="1" w:styleId="14">
    <w:name w:val="Heading #1|1_"/>
    <w:basedOn w:val="8"/>
    <w:link w:val="15"/>
    <w:qFormat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15">
    <w:name w:val="Heading #1|1"/>
    <w:basedOn w:val="1"/>
    <w:link w:val="14"/>
    <w:qFormat/>
    <w:uiPriority w:val="0"/>
    <w:pPr>
      <w:spacing w:after="250" w:line="576" w:lineRule="exact"/>
      <w:jc w:val="center"/>
      <w:outlineLvl w:val="0"/>
    </w:pPr>
    <w:rPr>
      <w:rFonts w:ascii="宋体" w:hAnsi="宋体" w:eastAsia="宋体" w:cs="宋体"/>
      <w:sz w:val="34"/>
      <w:szCs w:val="34"/>
      <w:lang w:val="zh-TW" w:eastAsia="zh-TW" w:bidi="zh-TW"/>
    </w:rPr>
  </w:style>
  <w:style w:type="character" w:customStyle="1" w:styleId="16">
    <w:name w:val="Other|1_"/>
    <w:basedOn w:val="8"/>
    <w:link w:val="17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7">
    <w:name w:val="Other|1"/>
    <w:basedOn w:val="1"/>
    <w:link w:val="16"/>
    <w:qFormat/>
    <w:uiPriority w:val="0"/>
    <w:pPr>
      <w:spacing w:line="413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8">
    <w:name w:val="Other|2_"/>
    <w:basedOn w:val="8"/>
    <w:link w:val="19"/>
    <w:qFormat/>
    <w:uiPriority w:val="0"/>
    <w:rPr>
      <w:rFonts w:ascii="宋体" w:hAnsi="宋体" w:eastAsia="宋体" w:cs="宋体"/>
      <w:b/>
      <w:bCs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9">
    <w:name w:val="Other|2"/>
    <w:basedOn w:val="1"/>
    <w:link w:val="18"/>
    <w:qFormat/>
    <w:uiPriority w:val="0"/>
    <w:rPr>
      <w:rFonts w:ascii="宋体" w:hAnsi="宋体" w:eastAsia="宋体" w:cs="宋体"/>
      <w:b/>
      <w:bCs/>
      <w:sz w:val="22"/>
      <w:szCs w:val="22"/>
      <w:lang w:val="zh-TW" w:eastAsia="zh-TW" w:bidi="zh-TW"/>
    </w:rPr>
  </w:style>
  <w:style w:type="character" w:customStyle="1" w:styleId="20">
    <w:name w:val="Body text|3_"/>
    <w:basedOn w:val="8"/>
    <w:link w:val="21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1">
    <w:name w:val="Body text|3"/>
    <w:basedOn w:val="1"/>
    <w:link w:val="20"/>
    <w:qFormat/>
    <w:uiPriority w:val="0"/>
    <w:pPr>
      <w:jc w:val="center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22">
    <w:name w:val="Table caption|1_"/>
    <w:basedOn w:val="8"/>
    <w:link w:val="23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3">
    <w:name w:val="Table caption|1"/>
    <w:basedOn w:val="1"/>
    <w:link w:val="22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24">
    <w:name w:val="Header or footer|1_"/>
    <w:basedOn w:val="8"/>
    <w:link w:val="25"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25">
    <w:name w:val="Header or footer|1"/>
    <w:basedOn w:val="1"/>
    <w:link w:val="24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26">
    <w:name w:val="Body text|2_"/>
    <w:basedOn w:val="8"/>
    <w:link w:val="27"/>
    <w:qFormat/>
    <w:uiPriority w:val="0"/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27">
    <w:name w:val="Body text|2"/>
    <w:basedOn w:val="1"/>
    <w:link w:val="26"/>
    <w:qFormat/>
    <w:uiPriority w:val="0"/>
    <w:rPr>
      <w:rFonts w:ascii="宋体" w:hAnsi="宋体" w:eastAsia="宋体" w:cs="宋体"/>
      <w:sz w:val="17"/>
      <w:szCs w:val="17"/>
      <w:lang w:val="zh-TW" w:eastAsia="zh-TW" w:bidi="zh-TW"/>
    </w:rPr>
  </w:style>
  <w:style w:type="paragraph" w:customStyle="1" w:styleId="28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29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0">
    <w:name w:val="批注框文本 Char"/>
    <w:basedOn w:val="8"/>
    <w:link w:val="3"/>
    <w:qFormat/>
    <w:uiPriority w:val="0"/>
    <w:rPr>
      <w:rFonts w:ascii="Times New Roman" w:hAnsi="Times New Roman" w:eastAsia="Times New Roman"/>
      <w:color w:val="000000"/>
      <w:sz w:val="18"/>
      <w:szCs w:val="18"/>
      <w:lang w:eastAsia="en-US" w:bidi="en-US"/>
    </w:rPr>
  </w:style>
  <w:style w:type="character" w:customStyle="1" w:styleId="31">
    <w:name w:val="font3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32">
    <w:name w:val="font1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3">
    <w:name w:val="font2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4">
    <w:name w:val="font51"/>
    <w:basedOn w:val="8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35">
    <w:name w:val="font61"/>
    <w:basedOn w:val="8"/>
    <w:qFormat/>
    <w:uiPriority w:val="0"/>
    <w:rPr>
      <w:rFonts w:hint="default" w:ascii="仿宋_GB2312" w:eastAsia="仿宋_GB2312" w:cs="仿宋_GB2312"/>
      <w:color w:val="FF0000"/>
      <w:sz w:val="18"/>
      <w:szCs w:val="18"/>
      <w:u w:val="none"/>
    </w:rPr>
  </w:style>
  <w:style w:type="character" w:customStyle="1" w:styleId="36">
    <w:name w:val="批注文字 Char"/>
    <w:basedOn w:val="8"/>
    <w:link w:val="2"/>
    <w:qFormat/>
    <w:uiPriority w:val="0"/>
    <w:rPr>
      <w:rFonts w:eastAsia="Times New Roman"/>
      <w:color w:val="000000"/>
      <w:sz w:val="24"/>
      <w:szCs w:val="24"/>
      <w:lang w:eastAsia="en-US" w:bidi="en-US"/>
    </w:rPr>
  </w:style>
  <w:style w:type="character" w:customStyle="1" w:styleId="37">
    <w:name w:val="批注主题 Char"/>
    <w:basedOn w:val="36"/>
    <w:link w:val="6"/>
    <w:qFormat/>
    <w:uiPriority w:val="0"/>
    <w:rPr>
      <w:rFonts w:eastAsia="Times New Roman"/>
      <w:b/>
      <w:bCs/>
      <w:color w:val="000000"/>
      <w:sz w:val="24"/>
      <w:szCs w:val="24"/>
      <w:lang w:eastAsia="en-US" w:bidi="en-US"/>
    </w:rPr>
  </w:style>
  <w:style w:type="character" w:customStyle="1" w:styleId="38">
    <w:name w:val="font4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styleId="3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674</Words>
  <Characters>3843</Characters>
  <Lines>32</Lines>
  <Paragraphs>9</Paragraphs>
  <TotalTime>15</TotalTime>
  <ScaleCrop>false</ScaleCrop>
  <LinksUpToDate>false</LinksUpToDate>
  <CharactersWithSpaces>4508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2021-08-06T09:17:00Z</dcterms:created>
  <dc:creator>Administrator</dc:creator>
  <cp:lastModifiedBy>曾国洪</cp:lastModifiedBy>
  <cp:lastPrinted>2021-07-14T02:23:00Z</cp:lastPrinted>
  <dcterms:modified xsi:type="dcterms:W3CDTF">2022-01-27T08:36:30Z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A2A602FE9C8A4F559D2FF3E789081A2F</vt:lpwstr>
  </property>
</Properties>
</file>