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会议材料之十</w:t>
      </w:r>
    </w:p>
    <w:p>
      <w:pPr>
        <w:spacing w:line="600" w:lineRule="exact"/>
        <w:jc w:val="center"/>
        <w:rPr>
          <w:rFonts w:ascii="方正小标宋简体" w:hAnsi="新宋体" w:eastAsia="方正小标宋简体"/>
          <w:bCs/>
          <w:sz w:val="44"/>
          <w:szCs w:val="44"/>
        </w:rPr>
      </w:pPr>
      <w:r>
        <w:rPr>
          <w:rFonts w:hint="eastAsia" w:ascii="方正小标宋简体" w:hAnsi="新宋体" w:eastAsia="方正小标宋简体"/>
          <w:bCs/>
          <w:sz w:val="44"/>
          <w:szCs w:val="44"/>
        </w:rPr>
        <w:t>铁龙镇2019年财政预算执行情况和</w:t>
      </w:r>
    </w:p>
    <w:p>
      <w:pPr>
        <w:spacing w:line="600" w:lineRule="exact"/>
        <w:jc w:val="center"/>
        <w:rPr>
          <w:rFonts w:ascii="方正小标宋简体" w:hAnsi="新宋体" w:eastAsia="方正小标宋简体"/>
          <w:bCs/>
          <w:sz w:val="44"/>
          <w:szCs w:val="44"/>
        </w:rPr>
      </w:pPr>
      <w:r>
        <w:rPr>
          <w:rFonts w:hint="eastAsia" w:ascii="方正小标宋简体" w:hAnsi="新宋体" w:eastAsia="方正小标宋简体"/>
          <w:bCs/>
          <w:sz w:val="44"/>
          <w:szCs w:val="44"/>
        </w:rPr>
        <w:t>2020年预算（草案）报告</w:t>
      </w:r>
    </w:p>
    <w:p>
      <w:pPr>
        <w:spacing w:line="600" w:lineRule="exact"/>
        <w:jc w:val="center"/>
        <w:rPr>
          <w:rFonts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——2020年6月30日在镇第十届人民代表大会第二会议上</w:t>
      </w:r>
    </w:p>
    <w:p>
      <w:pPr>
        <w:spacing w:line="600" w:lineRule="exact"/>
        <w:jc w:val="center"/>
        <w:rPr>
          <w:rFonts w:ascii="宋体" w:hAnsi="宋体"/>
          <w:sz w:val="30"/>
        </w:rPr>
      </w:pPr>
      <w:r>
        <w:rPr>
          <w:rFonts w:hint="eastAsia" w:ascii="宋体" w:hAnsi="宋体"/>
          <w:sz w:val="30"/>
        </w:rPr>
        <w:t>刘求汉</w:t>
      </w:r>
    </w:p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各位代表：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受镇人</w:t>
      </w:r>
      <w:r>
        <w:rPr>
          <w:rFonts w:hint="eastAsia" w:ascii="仿宋_GB2312" w:hAnsi="仿宋_GB2312" w:eastAsia="仿宋_GB2312" w:cs="仿宋_GB2312"/>
          <w:color w:val="333333"/>
          <w:sz w:val="32"/>
          <w:szCs w:val="32"/>
        </w:rPr>
        <w:t>民政府</w:t>
      </w:r>
      <w:r>
        <w:rPr>
          <w:rFonts w:hint="eastAsia" w:ascii="仿宋_GB2312" w:hAnsi="仿宋_GB2312" w:eastAsia="仿宋_GB2312" w:cs="仿宋_GB2312"/>
          <w:sz w:val="32"/>
          <w:szCs w:val="32"/>
        </w:rPr>
        <w:t>委托，</w:t>
      </w:r>
      <w:r>
        <w:rPr>
          <w:rFonts w:ascii="仿宋_GB2312" w:hAnsi="仿宋_GB2312" w:eastAsia="仿宋_GB2312" w:cs="仿宋_GB2312"/>
          <w:sz w:val="32"/>
          <w:szCs w:val="32"/>
        </w:rPr>
        <w:t>我</w:t>
      </w:r>
      <w:r>
        <w:rPr>
          <w:rFonts w:hint="eastAsia" w:ascii="仿宋_GB2312" w:hAnsi="仿宋_GB2312" w:eastAsia="仿宋_GB2312" w:cs="仿宋_GB2312"/>
          <w:sz w:val="32"/>
          <w:szCs w:val="32"/>
        </w:rPr>
        <w:t>向大会报告2019年财政预算执行情况和2020年财政预算（草案），请予审议。</w:t>
      </w:r>
    </w:p>
    <w:p>
      <w:pPr>
        <w:spacing w:line="560" w:lineRule="exact"/>
        <w:jc w:val="center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2019年财政预算执行情况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2019年我镇的财政工作在镇党委政府的正确领导、在镇人大的监督和上级财政部门的指导下，</w:t>
      </w:r>
      <w:r>
        <w:rPr>
          <w:rFonts w:ascii="仿宋_GB2312" w:hAnsi="仿宋_GB2312" w:cs="仿宋_GB2312"/>
          <w:sz w:val="32"/>
          <w:szCs w:val="32"/>
        </w:rPr>
        <w:t>通过</w:t>
      </w:r>
      <w:r>
        <w:rPr>
          <w:rFonts w:hint="eastAsia" w:ascii="仿宋_GB2312" w:hAnsi="仿宋_GB2312" w:eastAsia="仿宋_GB2312" w:cs="仿宋_GB2312"/>
          <w:color w:val="333333"/>
          <w:sz w:val="32"/>
          <w:szCs w:val="32"/>
        </w:rPr>
        <w:t>狠抓财政收入，优化支出结构，着力保障民生，深化体制改革，加强财政管理，提高支出绩效，</w:t>
      </w:r>
      <w:r>
        <w:rPr>
          <w:rFonts w:hint="eastAsia" w:ascii="仿宋_GB2312" w:hAnsi="仿宋_GB2312" w:eastAsia="仿宋_GB2312" w:cs="仿宋_GB2312"/>
          <w:sz w:val="32"/>
          <w:szCs w:val="32"/>
        </w:rPr>
        <w:t>圆满完成了2019年预算任务。下面我将2019年</w:t>
      </w:r>
      <w:r>
        <w:rPr>
          <w:rFonts w:hint="eastAsia" w:ascii="仿宋_GB2312" w:hAnsi="仿宋_GB2312" w:eastAsia="仿宋_GB2312" w:cs="仿宋_GB2312"/>
          <w:color w:val="333333"/>
          <w:sz w:val="32"/>
          <w:szCs w:val="32"/>
        </w:rPr>
        <w:t>度的财政决算情况报告如下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一、</w:t>
      </w:r>
      <w:r>
        <w:rPr>
          <w:rFonts w:hint="eastAsia" w:ascii="仿宋_GB2312" w:hAnsi="仿宋_GB2312" w:eastAsia="仿宋_GB2312" w:cs="仿宋_GB2312"/>
          <w:sz w:val="32"/>
          <w:szCs w:val="32"/>
        </w:rPr>
        <w:t>2019年，我镇公共财政预算收入为5297.01万元，完成年初预算3746万元的141.4%，增加了1551.01万元，增幅41.4%，各类收入的主要项目是：</w:t>
      </w:r>
    </w:p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 xml:space="preserve">   （</w:t>
      </w:r>
      <w:r>
        <w:rPr>
          <w:rFonts w:hint="eastAsia" w:ascii="仿宋_GB2312" w:hAnsi="仿宋_GB2312" w:eastAsia="仿宋_GB2312" w:cs="仿宋_GB2312"/>
          <w:sz w:val="32"/>
          <w:szCs w:val="32"/>
        </w:rPr>
        <w:t>一</w:t>
      </w:r>
      <w:r>
        <w:rPr>
          <w:rFonts w:ascii="仿宋_GB2312" w:hAnsi="仿宋_GB2312" w:eastAsia="仿宋_GB2312" w:cs="仿宋_GB231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地方一般预算收入完成1792.27万元；</w:t>
      </w:r>
    </w:p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 xml:space="preserve">   （</w:t>
      </w:r>
      <w:r>
        <w:rPr>
          <w:rFonts w:hint="eastAsia" w:ascii="仿宋_GB2312" w:hAnsi="仿宋_GB2312" w:eastAsia="仿宋_GB2312" w:cs="仿宋_GB2312"/>
          <w:sz w:val="32"/>
          <w:szCs w:val="32"/>
        </w:rPr>
        <w:t>二</w:t>
      </w:r>
      <w:r>
        <w:rPr>
          <w:rFonts w:ascii="仿宋_GB2312" w:hAnsi="仿宋_GB2312" w:eastAsia="仿宋_GB2312" w:cs="仿宋_GB231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一般公共预算补助收入3474.36万元；</w:t>
      </w:r>
    </w:p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 xml:space="preserve">   （</w:t>
      </w:r>
      <w:r>
        <w:rPr>
          <w:rFonts w:hint="eastAsia" w:ascii="仿宋_GB2312" w:hAnsi="仿宋_GB2312" w:eastAsia="仿宋_GB2312" w:cs="仿宋_GB2312"/>
          <w:sz w:val="32"/>
          <w:szCs w:val="32"/>
        </w:rPr>
        <w:t>三</w:t>
      </w:r>
      <w:r>
        <w:rPr>
          <w:rFonts w:ascii="仿宋_GB2312" w:hAnsi="仿宋_GB2312" w:eastAsia="仿宋_GB2312" w:cs="仿宋_GB231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其他收入（利息收入）30.38万元。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二、</w:t>
      </w:r>
      <w:r>
        <w:rPr>
          <w:rFonts w:hint="eastAsia" w:ascii="仿宋_GB2312" w:hAnsi="仿宋_GB2312" w:eastAsia="仿宋_GB2312" w:cs="仿宋_GB2312"/>
          <w:sz w:val="32"/>
          <w:szCs w:val="32"/>
        </w:rPr>
        <w:t>2019年财政总支出完成5747.14万元，完成年度预算3777.40万元的152.1</w:t>
      </w:r>
      <w:r>
        <w:rPr>
          <w:rFonts w:ascii="仿宋_GB2312" w:hAnsi="仿宋_GB2312" w:eastAsia="仿宋_GB2312" w:cs="仿宋_GB2312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%。各类支出的主要项目是：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</w:rPr>
        <w:t>一</w:t>
      </w:r>
      <w:r>
        <w:rPr>
          <w:rFonts w:ascii="仿宋_GB2312" w:hAnsi="仿宋_GB2312" w:eastAsia="仿宋_GB2312" w:cs="仿宋_GB231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一般预算支出3954.87万元。</w:t>
      </w:r>
    </w:p>
    <w:p>
      <w:pPr>
        <w:spacing w:line="560" w:lineRule="exact"/>
        <w:ind w:firstLine="636" w:firstLineChars="19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其中：</w:t>
      </w:r>
      <w:r>
        <w:rPr>
          <w:rFonts w:ascii="仿宋_GB2312" w:hAnsi="仿宋_GB2312" w:eastAsia="仿宋_GB2312" w:cs="仿宋_GB2312"/>
          <w:sz w:val="32"/>
          <w:szCs w:val="32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</w:rPr>
        <w:t>一般公共服务支出1979.25万元；</w:t>
      </w:r>
    </w:p>
    <w:p>
      <w:pPr>
        <w:spacing w:line="560" w:lineRule="exact"/>
        <w:ind w:firstLine="1593" w:firstLineChars="498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2.教育支出223.58万元；</w:t>
      </w:r>
    </w:p>
    <w:p>
      <w:pPr>
        <w:spacing w:line="560" w:lineRule="exact"/>
        <w:ind w:firstLine="1593" w:firstLineChars="498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3.文化体育与传媒支出16.62万元；</w:t>
      </w:r>
    </w:p>
    <w:p>
      <w:pPr>
        <w:spacing w:line="560" w:lineRule="exact"/>
        <w:ind w:firstLine="1593" w:firstLineChars="498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4.社会保障和就业支出184.49万元；</w:t>
      </w:r>
    </w:p>
    <w:p>
      <w:pPr>
        <w:spacing w:line="560" w:lineRule="exact"/>
        <w:ind w:firstLine="1593" w:firstLineChars="498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5.医疗卫生与计划生育支出34.17万元；</w:t>
      </w:r>
    </w:p>
    <w:p>
      <w:pPr>
        <w:spacing w:line="560" w:lineRule="exact"/>
        <w:ind w:firstLine="1593" w:firstLineChars="498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6.节能环保支出488.08万元；</w:t>
      </w:r>
    </w:p>
    <w:p>
      <w:pPr>
        <w:spacing w:line="560" w:lineRule="exact"/>
        <w:ind w:firstLine="1593" w:firstLineChars="498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7.城乡社区事务支出27.09万元；</w:t>
      </w:r>
    </w:p>
    <w:p>
      <w:pPr>
        <w:spacing w:line="560" w:lineRule="exact"/>
        <w:ind w:firstLine="1593" w:firstLineChars="498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8.农林水事务支出651.77万元；</w:t>
      </w:r>
    </w:p>
    <w:p>
      <w:pPr>
        <w:spacing w:line="560" w:lineRule="exact"/>
        <w:ind w:firstLine="1593" w:firstLineChars="498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9.交通运输支出148.84万元；</w:t>
      </w:r>
    </w:p>
    <w:p>
      <w:pPr>
        <w:spacing w:line="560" w:lineRule="exact"/>
        <w:ind w:firstLine="1593" w:firstLineChars="498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10.资源勘探信息等支出5.72万元；</w:t>
      </w:r>
    </w:p>
    <w:p>
      <w:pPr>
        <w:spacing w:line="560" w:lineRule="exact"/>
        <w:ind w:firstLine="1593" w:firstLineChars="498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11.</w:t>
      </w:r>
      <w:r>
        <w:rPr>
          <w:rFonts w:hint="eastAsia" w:ascii="仿宋_GB2312" w:hAnsi="仿宋_GB2312" w:eastAsia="仿宋_GB2312" w:cs="仿宋_GB2312"/>
          <w:sz w:val="32"/>
          <w:szCs w:val="32"/>
        </w:rPr>
        <w:t>其他支出195.26万；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</w:rPr>
        <w:t>二</w:t>
      </w:r>
      <w:r>
        <w:rPr>
          <w:rFonts w:ascii="仿宋_GB2312" w:hAnsi="仿宋_GB2312" w:eastAsia="仿宋_GB2312" w:cs="仿宋_GB231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上解支出1792.27万元</w:t>
      </w:r>
      <w:r>
        <w:rPr>
          <w:rFonts w:ascii="仿宋_GB2312" w:hAnsi="仿宋_GB2312" w:eastAsia="仿宋_GB2312" w:cs="仿宋_GB2312"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2019年财政预算总收入5297.01万元与总支出5747.14万元相抵，支出大于收入，造成赤字主要是2018年年终结转结余在2019年度发生支出影响，2018年年终结转结余在2019年度支出如下：文化与体育传媒支出15.20万元，社会保障和就业支出96.74万元，节能环保支出487.47万元，城乡社区事务支出5.99万元，农林水支出32.92万元，交通运输支出29.88万元，其他支出50.74万元。</w:t>
      </w:r>
    </w:p>
    <w:p>
      <w:pPr>
        <w:spacing w:line="560" w:lineRule="exact"/>
        <w:ind w:firstLine="636" w:firstLineChars="19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各位代表，一年来，我们在税源薄弱的条件下，在镇党委政府正确领导下，坚持积极培育税源，从严控制支出，积极争取上级部门的支持，加大了对人员经费和村（居）委办公经费的</w:t>
      </w:r>
      <w:r>
        <w:rPr>
          <w:rFonts w:ascii="仿宋_GB2312" w:hAnsi="仿宋_GB2312" w:eastAsia="仿宋_GB2312" w:cs="仿宋_GB2312"/>
          <w:sz w:val="32"/>
          <w:szCs w:val="32"/>
        </w:rPr>
        <w:t>保障力度</w:t>
      </w:r>
      <w:r>
        <w:rPr>
          <w:rFonts w:hint="eastAsia" w:ascii="仿宋_GB2312" w:hAnsi="仿宋_GB2312" w:eastAsia="仿宋_GB2312" w:cs="仿宋_GB2312"/>
          <w:sz w:val="32"/>
          <w:szCs w:val="32"/>
        </w:rPr>
        <w:t>，保证了政权建设和科技、文化、教育、公共卫生、社会保障、救灾救济、扶贫和</w:t>
      </w:r>
      <w:r>
        <w:rPr>
          <w:rFonts w:ascii="仿宋_GB2312" w:hAnsi="仿宋_GB2312" w:eastAsia="仿宋_GB2312" w:cs="仿宋_GB2312"/>
          <w:sz w:val="32"/>
          <w:szCs w:val="32"/>
        </w:rPr>
        <w:t>“三农”</w:t>
      </w:r>
      <w:r>
        <w:rPr>
          <w:rFonts w:hint="eastAsia" w:ascii="仿宋_GB2312" w:hAnsi="仿宋_GB2312" w:eastAsia="仿宋_GB2312" w:cs="仿宋_GB2312"/>
          <w:sz w:val="32"/>
          <w:szCs w:val="32"/>
        </w:rPr>
        <w:t>等公共事业的发展，为全镇经济发展和社会稳定提供了财力保障。</w:t>
      </w:r>
    </w:p>
    <w:p>
      <w:pPr>
        <w:spacing w:line="560" w:lineRule="exact"/>
        <w:jc w:val="center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2020年财政预算（草案）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以习近平新时代中国特色社会主义思想为指导，全面落实习近平总书记对广东重要讲话和重</w:t>
      </w:r>
      <w:r>
        <w:rPr>
          <w:rFonts w:hint="eastAsia" w:ascii="仿宋_GB2312" w:hAnsi="仿宋_GB2312" w:eastAsia="仿宋_GB2312" w:cs="仿宋_GB2312"/>
          <w:sz w:val="32"/>
          <w:szCs w:val="32"/>
        </w:rPr>
        <w:t>要指示批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示精神，紧紧围绕县委、县政府提出争当</w:t>
      </w:r>
      <w:r>
        <w:rPr>
          <w:rFonts w:ascii="仿宋_GB2312" w:hAnsi="仿宋_GB2312" w:eastAsia="仿宋_GB2312" w:cs="仿宋_GB2312"/>
          <w:color w:val="000000"/>
          <w:sz w:val="32"/>
          <w:szCs w:val="32"/>
        </w:rPr>
        <w:t>北部生态发展区高质量发展示范县目标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，牢固树立“四个意识”，坚定“四个自信”，坚决做到“两个维护”，深入推进全面从严治党的目标任务，继续实施积极的财政政策，推进公共财政建设，严格依法理财、民主理财、科学理财，不断增强财政综合实力；着力保障和改善民生，不断提高资金使用效益。</w:t>
      </w:r>
      <w:r>
        <w:rPr>
          <w:rFonts w:hint="eastAsia" w:ascii="仿宋_GB2312" w:hAnsi="仿宋_GB2312" w:eastAsia="仿宋_GB2312" w:cs="仿宋_GB2312"/>
          <w:sz w:val="32"/>
          <w:szCs w:val="32"/>
        </w:rPr>
        <w:t>结合我镇财政的实际情况，作2020年的财政预算安排。</w:t>
      </w:r>
    </w:p>
    <w:p>
      <w:pPr>
        <w:spacing w:line="560" w:lineRule="exact"/>
        <w:ind w:firstLine="636" w:firstLineChars="19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一、</w:t>
      </w:r>
      <w:r>
        <w:rPr>
          <w:rFonts w:hint="eastAsia" w:ascii="仿宋_GB2312" w:hAnsi="仿宋_GB2312" w:eastAsia="仿宋_GB2312" w:cs="仿宋_GB2312"/>
          <w:sz w:val="32"/>
          <w:szCs w:val="32"/>
        </w:rPr>
        <w:t>根据历年我镇的经济发展情况、财政收支情况以及2020年已全面实行国库集中支付的实际，2020年我镇财政一般公共预算收入安排5743.39万元，具体收入项目是：</w:t>
      </w:r>
    </w:p>
    <w:p>
      <w:pPr>
        <w:spacing w:line="560" w:lineRule="exact"/>
        <w:ind w:firstLine="636" w:firstLineChars="19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（一）</w:t>
      </w:r>
      <w:r>
        <w:rPr>
          <w:rFonts w:hint="eastAsia" w:ascii="仿宋_GB2312" w:hAnsi="仿宋_GB2312" w:eastAsia="仿宋_GB2312" w:cs="仿宋_GB2312"/>
          <w:sz w:val="32"/>
          <w:szCs w:val="32"/>
        </w:rPr>
        <w:t>地方一般预算收入1936万元；</w:t>
      </w:r>
    </w:p>
    <w:p>
      <w:pPr>
        <w:spacing w:line="560" w:lineRule="exact"/>
        <w:ind w:firstLine="636" w:firstLineChars="19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（二）</w:t>
      </w:r>
      <w:r>
        <w:rPr>
          <w:rFonts w:hint="eastAsia" w:ascii="仿宋_GB2312" w:hAnsi="仿宋_GB2312" w:eastAsia="仿宋_GB2312" w:cs="仿宋_GB2312"/>
          <w:sz w:val="32"/>
          <w:szCs w:val="32"/>
        </w:rPr>
        <w:t>一般性转移支付收入3807.39万元</w:t>
      </w:r>
      <w:r>
        <w:rPr>
          <w:rFonts w:ascii="仿宋_GB2312" w:hAnsi="仿宋_GB2312" w:eastAsia="仿宋_GB2312" w:cs="仿宋_GB2312"/>
          <w:sz w:val="32"/>
          <w:szCs w:val="32"/>
        </w:rPr>
        <w:t>。</w:t>
      </w:r>
    </w:p>
    <w:p>
      <w:pPr>
        <w:spacing w:line="560" w:lineRule="exact"/>
        <w:ind w:firstLine="636" w:firstLineChars="19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二、</w:t>
      </w:r>
      <w:r>
        <w:rPr>
          <w:rFonts w:hint="eastAsia" w:ascii="仿宋_GB2312" w:hAnsi="仿宋_GB2312" w:eastAsia="仿宋_GB2312" w:cs="仿宋_GB2312"/>
          <w:sz w:val="32"/>
          <w:szCs w:val="32"/>
        </w:rPr>
        <w:t>2020年财政总支出预算安排5743.39万</w:t>
      </w:r>
      <w:r>
        <w:rPr>
          <w:rFonts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具体支出项目是：</w:t>
      </w:r>
    </w:p>
    <w:p>
      <w:pPr>
        <w:spacing w:line="560" w:lineRule="exact"/>
        <w:ind w:left="597"/>
        <w:rPr>
          <w:rFonts w:ascii="楷体_GB2312" w:hAnsi="楷体_GB2312" w:eastAsia="楷体_GB2312" w:cs="楷体_GB2312"/>
          <w:sz w:val="32"/>
          <w:szCs w:val="32"/>
        </w:rPr>
      </w:pPr>
      <w:r>
        <w:rPr>
          <w:rFonts w:ascii="楷体_GB2312" w:hAnsi="楷体_GB2312" w:eastAsia="楷体_GB2312" w:cs="楷体_GB2312"/>
          <w:sz w:val="32"/>
          <w:szCs w:val="32"/>
        </w:rPr>
        <w:t>（</w:t>
      </w:r>
      <w:r>
        <w:rPr>
          <w:rFonts w:hint="eastAsia" w:ascii="楷体_GB2312" w:hAnsi="楷体_GB2312" w:eastAsia="楷体_GB2312" w:cs="楷体_GB2312"/>
          <w:sz w:val="32"/>
          <w:szCs w:val="32"/>
        </w:rPr>
        <w:t>一</w:t>
      </w:r>
      <w:r>
        <w:rPr>
          <w:rFonts w:ascii="楷体_GB2312" w:hAnsi="楷体_GB2312" w:eastAsia="楷体_GB2312" w:cs="楷体_GB2312"/>
          <w:sz w:val="32"/>
          <w:szCs w:val="32"/>
        </w:rPr>
        <w:t>）</w:t>
      </w:r>
      <w:r>
        <w:rPr>
          <w:rFonts w:hint="eastAsia" w:ascii="楷体_GB2312" w:hAnsi="楷体_GB2312" w:eastAsia="楷体_GB2312" w:cs="楷体_GB2312"/>
          <w:sz w:val="32"/>
          <w:szCs w:val="32"/>
        </w:rPr>
        <w:t>一般公共预算本级支出3807.39万元；</w:t>
      </w:r>
    </w:p>
    <w:p>
      <w:pPr>
        <w:spacing w:line="560" w:lineRule="exact"/>
        <w:ind w:left="630" w:leftChars="300"/>
        <w:jc w:val="left"/>
        <w:rPr>
          <w:rFonts w:ascii="楷体_GB2312" w:hAnsi="楷体_GB2312" w:eastAsia="楷体_GB2312" w:cs="楷体_GB2312"/>
          <w:sz w:val="32"/>
          <w:szCs w:val="32"/>
        </w:rPr>
      </w:pPr>
      <w:r>
        <w:rPr>
          <w:rFonts w:ascii="楷体_GB2312" w:hAnsi="楷体_GB2312" w:eastAsia="楷体_GB2312" w:cs="楷体_GB2312"/>
          <w:sz w:val="32"/>
          <w:szCs w:val="32"/>
        </w:rPr>
        <w:t>（</w:t>
      </w:r>
      <w:r>
        <w:rPr>
          <w:rFonts w:hint="eastAsia" w:ascii="楷体_GB2312" w:hAnsi="楷体_GB2312" w:eastAsia="楷体_GB2312" w:cs="楷体_GB2312"/>
          <w:sz w:val="32"/>
          <w:szCs w:val="32"/>
        </w:rPr>
        <w:t>二</w:t>
      </w:r>
      <w:r>
        <w:rPr>
          <w:rFonts w:ascii="楷体_GB2312" w:hAnsi="楷体_GB2312" w:eastAsia="楷体_GB2312" w:cs="楷体_GB2312"/>
          <w:sz w:val="32"/>
          <w:szCs w:val="32"/>
        </w:rPr>
        <w:t>）</w:t>
      </w:r>
      <w:r>
        <w:rPr>
          <w:rFonts w:hint="eastAsia" w:ascii="楷体_GB2312" w:hAnsi="楷体_GB2312" w:eastAsia="楷体_GB2312" w:cs="楷体_GB2312"/>
          <w:sz w:val="32"/>
          <w:szCs w:val="32"/>
        </w:rPr>
        <w:t>上解支出1936万元</w:t>
      </w:r>
      <w:r>
        <w:rPr>
          <w:rFonts w:ascii="楷体_GB2312" w:hAnsi="楷体_GB2312" w:eastAsia="楷体_GB2312" w:cs="楷体_GB2312"/>
          <w:sz w:val="32"/>
          <w:szCs w:val="32"/>
        </w:rPr>
        <w:t>。</w:t>
      </w:r>
    </w:p>
    <w:p>
      <w:pPr>
        <w:spacing w:line="560" w:lineRule="exact"/>
        <w:ind w:firstLine="636" w:firstLineChars="19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综合上述收支预算安排，收支对比平衡。2020年，面对新冠肺炎疫情和减税降费政策的影响，我镇财政将紧紧围绕“高质量发展”这一主线，坚持稳中求进，统筹做好财政预算工作，在保障财政收支平衡的基础上，努力为全镇经济社会发展提供财力支撑，主要重点做好以下几方面工作：</w:t>
      </w:r>
    </w:p>
    <w:p>
      <w:pPr>
        <w:spacing w:line="560" w:lineRule="exact"/>
        <w:ind w:firstLine="636" w:firstLineChars="199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一、拓宽财源，确保镇财政收入高质量发展</w:t>
      </w:r>
      <w:r>
        <w:rPr>
          <w:rFonts w:ascii="黑体" w:hAnsi="黑体" w:cs="黑体"/>
          <w:sz w:val="32"/>
          <w:szCs w:val="32"/>
        </w:rPr>
        <w:t>。</w:t>
      </w:r>
    </w:p>
    <w:p>
      <w:pPr>
        <w:spacing w:line="560" w:lineRule="exact"/>
        <w:ind w:firstLine="636" w:firstLineChars="19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2020年我们将面临经济增长放缓的压力，更应立足实际，积极整合财政资源，努力培育可持续的优质财源，真正做到把财政增收工作落到实处，取得实效。一是加强沟通与协调，积极争取省市级项目和上级补助资金，在政策和资金上得到更多的支持，拓宽财政增长渠道。二是加快推进各行各业全面复工复产，尽快恢复正常生产生活秩序，促进社会经济平稳健康发展，为今年顺利完成税收任务</w:t>
      </w:r>
      <w:r>
        <w:rPr>
          <w:rFonts w:ascii="仿宋_GB2312" w:hAnsi="仿宋_GB2312" w:eastAsia="仿宋_GB2312" w:cs="仿宋_GB2312"/>
          <w:sz w:val="32"/>
          <w:szCs w:val="32"/>
        </w:rPr>
        <w:t>奠定基础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二、优化支出预算，强化预算执行</w:t>
      </w:r>
      <w:r>
        <w:rPr>
          <w:rFonts w:ascii="黑体" w:hAnsi="黑体" w:cs="黑体"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做好“六稳”工作，全面落实“六保”任务，牢固树立艰苦奋斗､勤俭节约的思想，严控一般性支出，调整优化支出结构，集中财力支持经济社会发展重点领域和关键环节。加强预算执行管理，提升资金使用绩效，确保早投入、早见效。加强监督管理，进一步严肃财经纪律，确保资金安全。严格控制预算支出，严格“三公”经费、会议费、培训费、差旅费支出范围和开支标准，组织调度好财政资金，确保财政支出及时、均衡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三、突出民生优先，落实乡村振兴政策</w:t>
      </w:r>
      <w:r>
        <w:rPr>
          <w:rFonts w:ascii="黑体" w:hAnsi="黑体" w:cs="黑体"/>
          <w:sz w:val="32"/>
          <w:szCs w:val="32"/>
        </w:rPr>
        <w:t>。</w:t>
      </w:r>
    </w:p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优化财政支出结构，突出重点，合理把握财政支出规模，加大对“三农”、脱贫攻坚、教育、卫生、文化、社会保障等方面的投入，实施好民生工程，办好民生实事，确保全镇民生支出。进一步规范涉农资金管理，全面落实强农惠农补贴政策，确保上级补助资金到户，增加农民收入，拉动农村消费。</w:t>
      </w:r>
    </w:p>
    <w:p>
      <w:pPr>
        <w:spacing w:line="560" w:lineRule="exact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四、强化制度建设，提升财政管理水平</w:t>
      </w:r>
      <w:r>
        <w:rPr>
          <w:rFonts w:ascii="黑体" w:hAnsi="黑体" w:cs="黑体"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一是不断完善管理制度，强化财政监督，着力促进财政财务规范运行。二是严格预决算公开制度，促进预算收支信息的公开透明。三是加强政府债务管控，严控债务规模，努力防范财政风险。努力提高财政资金使用的安全性、规范性和有效性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各位代表，</w:t>
      </w:r>
      <w:r>
        <w:rPr>
          <w:rFonts w:hint="eastAsia" w:ascii="仿宋_GB2312" w:hAnsi="仿宋_GB2312" w:eastAsia="仿宋_GB2312" w:cs="仿宋_GB2312"/>
          <w:sz w:val="32"/>
          <w:szCs w:val="32"/>
        </w:rPr>
        <w:t>今</w:t>
      </w:r>
      <w:r>
        <w:rPr>
          <w:rFonts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</w:rPr>
        <w:t>的</w:t>
      </w:r>
      <w:r>
        <w:rPr>
          <w:rFonts w:ascii="仿宋_GB2312" w:hAnsi="仿宋_GB2312" w:eastAsia="仿宋_GB2312" w:cs="仿宋_GB2312"/>
          <w:sz w:val="32"/>
          <w:szCs w:val="32"/>
        </w:rPr>
        <w:t>财政工作任务艰巨、责任重大。我们将在镇党委政府</w:t>
      </w:r>
      <w:r>
        <w:rPr>
          <w:rFonts w:hint="eastAsia" w:ascii="仿宋_GB2312" w:hAnsi="仿宋_GB2312" w:eastAsia="仿宋_GB2312" w:cs="仿宋_GB2312"/>
          <w:sz w:val="32"/>
          <w:szCs w:val="32"/>
        </w:rPr>
        <w:t>的领导和镇人大的监督下，</w:t>
      </w:r>
      <w:r>
        <w:rPr>
          <w:rFonts w:ascii="仿宋_GB2312" w:hAnsi="仿宋_GB2312" w:eastAsia="仿宋_GB2312" w:cs="仿宋_GB2312"/>
          <w:sz w:val="32"/>
          <w:szCs w:val="32"/>
        </w:rPr>
        <w:t>严格依法理财，坚持改革创新，强化财力保障，为我镇经济社会又好又快发展而努力奋斗！</w:t>
      </w:r>
      <w:bookmarkStart w:id="0" w:name="_GoBack"/>
      <w:bookmarkEnd w:id="0"/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谢谢 !</w:t>
      </w:r>
    </w:p>
    <w:sectPr>
      <w:headerReference r:id="rId5" w:type="first"/>
      <w:headerReference r:id="rId3" w:type="default"/>
      <w:footerReference r:id="rId6" w:type="default"/>
      <w:headerReference r:id="rId4" w:type="even"/>
      <w:footerReference r:id="rId7" w:type="even"/>
      <w:pgSz w:w="11907" w:h="16840"/>
      <w:pgMar w:top="2098" w:right="1701" w:bottom="1984" w:left="170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B3AD638E-FDD9-4964-8439-A7578456E4E4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EE3C2B72-A9DA-46A4-8B91-93C2B8C4EB66}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  <w:embedRegular r:id="rId3" w:fontKey="{294C52F2-C29B-4109-A1C0-66C683188C3F}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E8FC6469-A6DD-4838-B1A8-4725E704B530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5" w:fontKey="{FD090EC4-B1EF-4428-BFBC-88D37249BBEF}"/>
  </w:font>
  <w:font w:name="微软雅黑">
    <w:panose1 w:val="020B0503020204020204"/>
    <w:charset w:val="86"/>
    <w:family w:val="auto"/>
    <w:pitch w:val="default"/>
    <w:sig w:usb0="A0000287" w:usb1="28C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="774" w:wrap="around" w:vAnchor="text" w:hAnchor="margin" w:xAlign="center" w:y="7"/>
      <w:jc w:val="center"/>
      <w:rPr>
        <w:rStyle w:val="7"/>
        <w:rFonts w:ascii="宋体" w:hAnsi="宋体"/>
        <w:sz w:val="21"/>
      </w:rPr>
    </w:pPr>
    <w:r>
      <w:rPr>
        <w:rFonts w:ascii="宋体" w:hAnsi="宋体"/>
        <w:sz w:val="21"/>
      </w:rPr>
      <w:fldChar w:fldCharType="begin"/>
    </w:r>
    <w:r>
      <w:rPr>
        <w:rStyle w:val="7"/>
        <w:rFonts w:ascii="宋体" w:hAnsi="宋体"/>
        <w:sz w:val="21"/>
      </w:rPr>
      <w:instrText xml:space="preserve">PAGE  </w:instrText>
    </w:r>
    <w:r>
      <w:rPr>
        <w:rFonts w:ascii="宋体" w:hAnsi="宋体"/>
        <w:sz w:val="21"/>
      </w:rPr>
      <w:fldChar w:fldCharType="separate"/>
    </w:r>
    <w:r>
      <w:rPr>
        <w:rStyle w:val="7"/>
        <w:rFonts w:ascii="宋体" w:hAnsi="宋体"/>
        <w:sz w:val="21"/>
      </w:rPr>
      <w:t>3</w:t>
    </w:r>
    <w:r>
      <w:rPr>
        <w:rFonts w:ascii="宋体" w:hAnsi="宋体"/>
        <w:sz w:val="21"/>
      </w:rPr>
      <w:fldChar w:fldCharType="end"/>
    </w:r>
  </w:p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7"/>
      </w:rPr>
    </w:pPr>
    <w:r>
      <w:fldChar w:fldCharType="begin"/>
    </w:r>
    <w:r>
      <w:rPr>
        <w:rStyle w:val="7"/>
      </w:rPr>
      <w:instrText xml:space="preserve">PAGE  </w:instrText>
    </w:r>
    <w:r>
      <w:fldChar w:fldCharType="end"/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5C6F"/>
    <w:rsid w:val="00806832"/>
    <w:rsid w:val="00B65C6F"/>
    <w:rsid w:val="17696508"/>
    <w:rsid w:val="27191B02"/>
    <w:rsid w:val="30380294"/>
    <w:rsid w:val="317263D8"/>
    <w:rsid w:val="3EC05628"/>
    <w:rsid w:val="476975AC"/>
    <w:rsid w:val="4EFE130E"/>
    <w:rsid w:val="59E76A7D"/>
    <w:rsid w:val="5AE1074C"/>
    <w:rsid w:val="676A1F1B"/>
    <w:rsid w:val="70F13B9F"/>
    <w:rsid w:val="798B3553"/>
    <w:rsid w:val="7C8E2D0B"/>
    <w:rsid w:val="7CEC4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ind w:firstLine="637" w:firstLineChars="199"/>
    </w:pPr>
    <w:rPr>
      <w:rFonts w:ascii="宋体" w:hAnsi="宋体"/>
      <w:sz w:val="32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office</Company>
  <Pages>5</Pages>
  <Words>365</Words>
  <Characters>2086</Characters>
  <Lines>17</Lines>
  <Paragraphs>4</Paragraphs>
  <TotalTime>1</TotalTime>
  <ScaleCrop>false</ScaleCrop>
  <LinksUpToDate>false</LinksUpToDate>
  <CharactersWithSpaces>2447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2020-07-02T01:30:00Z</dcterms:created>
  <dc:creator>02</dc:creator>
  <cp:lastModifiedBy>Administrator</cp:lastModifiedBy>
  <cp:lastPrinted>2018-03-21T02:36:00Z</cp:lastPrinted>
  <dcterms:modified xsi:type="dcterms:W3CDTF">2023-08-23T03:35:18Z</dcterms:modified>
  <dc:title>新江镇二00四年财政决算和二00五年财政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