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附件3</w:t>
      </w:r>
    </w:p>
    <w:p>
      <w:pPr>
        <w:spacing w:line="360" w:lineRule="auto"/>
        <w:ind w:firstLine="1044" w:firstLineChars="200"/>
        <w:rPr>
          <w:rFonts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 w:val="32"/>
          <w:szCs w:val="32"/>
        </w:rPr>
        <w:t>年度）</w:t>
      </w:r>
    </w:p>
    <w:p>
      <w:pPr>
        <w:spacing w:line="360" w:lineRule="auto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/>
          <w:sz w:val="32"/>
        </w:rPr>
        <w:t>项目名称  202</w:t>
      </w:r>
      <w:r>
        <w:rPr>
          <w:rFonts w:hint="eastAsia" w:ascii="仿宋_GB2312" w:hAnsi="宋体"/>
          <w:sz w:val="32"/>
          <w:lang w:val="en-US" w:eastAsia="zh-CN"/>
        </w:rPr>
        <w:t>2</w:t>
      </w:r>
      <w:r>
        <w:rPr>
          <w:rFonts w:hint="eastAsia" w:ascii="仿宋_GB2312" w:hAnsi="宋体"/>
          <w:sz w:val="32"/>
        </w:rPr>
        <w:t>年教育督导经费</w:t>
      </w:r>
      <w:r>
        <w:rPr>
          <w:rFonts w:hint="eastAsia" w:ascii="仿宋_GB2312" w:hAnsi="宋体"/>
          <w:sz w:val="32"/>
          <w:lang w:eastAsia="zh-CN"/>
        </w:rPr>
        <w:t>（</w:t>
      </w:r>
      <w:r>
        <w:rPr>
          <w:rFonts w:hint="eastAsia" w:ascii="仿宋_GB2312" w:hAnsi="宋体"/>
          <w:sz w:val="32"/>
          <w:lang w:val="en-US" w:eastAsia="zh-CN"/>
        </w:rPr>
        <w:t>县级资金</w:t>
      </w:r>
      <w:r>
        <w:rPr>
          <w:rFonts w:hint="eastAsia" w:ascii="仿宋_GB2312" w:hAnsi="宋体"/>
          <w:sz w:val="32"/>
          <w:lang w:eastAsia="zh-CN"/>
        </w:rPr>
        <w:t>）</w:t>
      </w:r>
    </w:p>
    <w:p>
      <w:pPr>
        <w:spacing w:line="720" w:lineRule="auto"/>
        <w:ind w:firstLine="1500" w:firstLineChars="500"/>
        <w:rPr>
          <w:rFonts w:ascii="仿宋" w:hAnsi="仿宋" w:eastAsia="仿宋"/>
          <w:szCs w:val="30"/>
        </w:rPr>
      </w:pPr>
      <w:r>
        <w:rPr>
          <w:rFonts w:hint="eastAsia" w:ascii="仿宋" w:hAnsi="仿宋" w:eastAsia="仿宋"/>
          <w:szCs w:val="30"/>
        </w:rPr>
        <w:t>项目单位（公章）：</w:t>
      </w:r>
      <w:r>
        <w:rPr>
          <w:rFonts w:ascii="仿宋" w:hAnsi="仿宋" w:eastAsia="仿宋"/>
          <w:szCs w:val="30"/>
        </w:rPr>
        <w:t xml:space="preserve"> </w:t>
      </w:r>
    </w:p>
    <w:p>
      <w:pPr>
        <w:spacing w:line="720" w:lineRule="auto"/>
        <w:ind w:firstLine="1600" w:firstLineChars="500"/>
        <w:rPr>
          <w:rFonts w:ascii="仿宋_GB2312" w:hAnsi="宋体"/>
          <w:sz w:val="32"/>
        </w:rPr>
      </w:pPr>
      <w:r>
        <w:rPr>
          <w:rFonts w:hint="eastAsia" w:ascii="仿宋_GB2312" w:hAnsi="宋体"/>
          <w:sz w:val="32"/>
        </w:rPr>
        <w:t>项目单位主管部门：翁源县教育局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/>
          <w:sz w:val="32"/>
        </w:rPr>
        <w:t>项目负责人(签名)：</w:t>
      </w:r>
      <w:r>
        <w:rPr>
          <w:rFonts w:hint="eastAsia" w:ascii="仿宋_GB2312" w:hAnsi="宋体"/>
          <w:sz w:val="32"/>
          <w:lang w:val="en-US" w:eastAsia="zh-CN"/>
        </w:rPr>
        <w:t>赖长龙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/>
          <w:sz w:val="32"/>
        </w:rPr>
        <w:t>填报人（签名）：</w:t>
      </w:r>
      <w:r>
        <w:rPr>
          <w:rFonts w:hint="eastAsia" w:ascii="仿宋_GB2312" w:hAnsi="宋体"/>
          <w:sz w:val="32"/>
          <w:lang w:val="en-US" w:eastAsia="zh-CN"/>
        </w:rPr>
        <w:t>钟辉养</w:t>
      </w:r>
    </w:p>
    <w:p>
      <w:pPr>
        <w:spacing w:line="720" w:lineRule="auto"/>
        <w:ind w:firstLine="1600" w:firstLineChars="500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/>
          <w:sz w:val="32"/>
        </w:rPr>
        <w:t>联系电话：075128</w:t>
      </w:r>
      <w:r>
        <w:rPr>
          <w:rFonts w:hint="eastAsia" w:ascii="仿宋_GB2312" w:hAnsi="宋体"/>
          <w:sz w:val="32"/>
          <w:lang w:val="en-US" w:eastAsia="zh-CN"/>
        </w:rPr>
        <w:t>70018</w:t>
      </w:r>
    </w:p>
    <w:p>
      <w:pPr>
        <w:spacing w:line="720" w:lineRule="auto"/>
        <w:ind w:firstLine="1280" w:firstLineChars="400"/>
        <w:rPr>
          <w:rFonts w:ascii="仿宋_GB2312" w:hAnsi="宋体"/>
          <w:sz w:val="32"/>
        </w:rPr>
      </w:pPr>
      <w:r>
        <w:rPr>
          <w:rFonts w:hint="eastAsia" w:ascii="仿宋_GB2312" w:hAnsi="宋体"/>
          <w:sz w:val="32"/>
        </w:rPr>
        <w:t xml:space="preserve">  填报日期：202</w:t>
      </w:r>
      <w:r>
        <w:rPr>
          <w:rFonts w:hint="eastAsia" w:ascii="仿宋_GB2312" w:hAnsi="宋体"/>
          <w:sz w:val="32"/>
          <w:lang w:val="en-US" w:eastAsia="zh-CN"/>
        </w:rPr>
        <w:t>3</w:t>
      </w:r>
      <w:r>
        <w:rPr>
          <w:rFonts w:hint="eastAsia" w:ascii="仿宋_GB2312" w:hAnsi="宋体"/>
          <w:sz w:val="32"/>
        </w:rPr>
        <w:t>年</w:t>
      </w:r>
      <w:r>
        <w:rPr>
          <w:rFonts w:hint="eastAsia" w:ascii="仿宋_GB2312" w:hAnsi="宋体"/>
          <w:sz w:val="32"/>
          <w:lang w:val="en-US" w:eastAsia="zh-CN"/>
        </w:rPr>
        <w:t>3</w:t>
      </w:r>
      <w:r>
        <w:rPr>
          <w:rFonts w:hint="eastAsia" w:ascii="仿宋_GB2312" w:hAnsi="宋体"/>
          <w:sz w:val="32"/>
        </w:rPr>
        <w:t>月</w:t>
      </w:r>
      <w:r>
        <w:rPr>
          <w:rFonts w:hint="eastAsia" w:ascii="仿宋_GB2312" w:hAnsi="宋体"/>
          <w:sz w:val="32"/>
          <w:lang w:val="en-US" w:eastAsia="zh-CN"/>
        </w:rPr>
        <w:t>31</w:t>
      </w:r>
      <w:r>
        <w:rPr>
          <w:rFonts w:hint="eastAsia" w:ascii="仿宋_GB2312" w:hAnsi="宋体"/>
          <w:sz w:val="32"/>
        </w:rPr>
        <w:t>日</w:t>
      </w:r>
      <w:bookmarkStart w:id="0" w:name="_GoBack"/>
      <w:bookmarkEnd w:id="0"/>
    </w:p>
    <w:p>
      <w:pPr>
        <w:jc w:val="center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2200" w:firstLineChars="500"/>
        <w:rPr>
          <w:rFonts w:ascii="宋体" w:hAnsi="宋体" w:eastAsia="宋体" w:cs="宋体"/>
          <w:sz w:val="44"/>
          <w:szCs w:val="44"/>
        </w:rPr>
      </w:pPr>
    </w:p>
    <w:p>
      <w:pPr>
        <w:spacing w:line="360" w:lineRule="auto"/>
        <w:ind w:firstLine="2200" w:firstLineChars="500"/>
        <w:rPr>
          <w:rFonts w:ascii="宋体" w:hAnsi="宋体" w:eastAsia="宋体" w:cs="宋体"/>
          <w:sz w:val="44"/>
          <w:szCs w:val="44"/>
        </w:rPr>
      </w:pPr>
    </w:p>
    <w:p>
      <w:pPr>
        <w:spacing w:line="360" w:lineRule="auto"/>
        <w:ind w:firstLine="2200" w:firstLineChars="500"/>
        <w:rPr>
          <w:rFonts w:ascii="宋体" w:hAnsi="宋体" w:eastAsia="宋体" w:cs="宋体"/>
          <w:sz w:val="44"/>
          <w:szCs w:val="44"/>
        </w:rPr>
      </w:pPr>
    </w:p>
    <w:p>
      <w:pPr>
        <w:spacing w:line="360" w:lineRule="auto"/>
        <w:ind w:firstLine="2200" w:firstLineChars="500"/>
        <w:rPr>
          <w:rFonts w:ascii="宋体" w:hAnsi="宋体" w:eastAsia="宋体" w:cs="宋体"/>
          <w:sz w:val="44"/>
          <w:szCs w:val="44"/>
        </w:rPr>
      </w:pPr>
    </w:p>
    <w:p>
      <w:pPr>
        <w:spacing w:line="360" w:lineRule="auto"/>
        <w:ind w:firstLine="2200" w:firstLineChars="500"/>
        <w:rPr>
          <w:rFonts w:ascii="宋体" w:hAnsi="宋体" w:eastAsia="宋体" w:cs="宋体"/>
          <w:sz w:val="44"/>
          <w:szCs w:val="44"/>
        </w:rPr>
      </w:pPr>
    </w:p>
    <w:p>
      <w:pPr>
        <w:pStyle w:val="4"/>
        <w:tabs>
          <w:tab w:val="right" w:leader="dot" w:pos="8948"/>
        </w:tabs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4"/>
        <w:tabs>
          <w:tab w:val="right" w:leader="dot" w:pos="8948"/>
        </w:tabs>
        <w:ind w:firstLine="20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\l "_Toc521089182"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一、基本情况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</w:t>
      </w:r>
    </w:p>
    <w:p>
      <w:pPr>
        <w:pStyle w:val="4"/>
        <w:tabs>
          <w:tab w:val="right" w:leader="dot" w:pos="8948"/>
        </w:tabs>
        <w:ind w:firstLine="20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\l "_Toc521089185"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二、绩效指标分析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ascii="仿宋_GB2312" w:hAnsi="仿宋_GB2312" w:eastAsia="仿宋_GB2312" w:cs="仿宋_GB2312"/>
          <w:b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</w:t>
      </w:r>
    </w:p>
    <w:p>
      <w:pPr>
        <w:pStyle w:val="4"/>
        <w:tabs>
          <w:tab w:val="right" w:leader="dot" w:pos="8948"/>
        </w:tabs>
        <w:ind w:firstLine="20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\l "_Toc521089203"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三、综合评价结论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ascii="仿宋_GB2312" w:hAnsi="仿宋_GB2312" w:eastAsia="仿宋_GB2312" w:cs="仿宋_GB2312"/>
          <w:b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6</w:t>
      </w:r>
    </w:p>
    <w:p>
      <w:pPr>
        <w:pStyle w:val="4"/>
        <w:tabs>
          <w:tab w:val="right" w:leader="dot" w:pos="8948"/>
        </w:tabs>
        <w:ind w:firstLine="20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\l "_Toc521089204"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四、绩效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表现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7</w:t>
      </w:r>
    </w:p>
    <w:p>
      <w:pPr>
        <w:pStyle w:val="4"/>
        <w:tabs>
          <w:tab w:val="right" w:leader="dot" w:pos="8948"/>
        </w:tabs>
        <w:ind w:firstLine="20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\l "_Toc521089208"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五、存在问题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7</w:t>
      </w:r>
    </w:p>
    <w:p>
      <w:pPr>
        <w:pStyle w:val="4"/>
        <w:tabs>
          <w:tab w:val="right" w:leader="dot" w:pos="8948"/>
        </w:tabs>
        <w:ind w:firstLine="20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\l "_Toc521089213"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六、相关建议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8</w:t>
      </w:r>
    </w:p>
    <w:p>
      <w:pPr>
        <w:spacing w:line="360" w:lineRule="auto"/>
        <w:ind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为做好202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年度教育督导专项资金绩效自评工作，提高财政资金使用效益，根据《翁源县财政局关于开展202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度县级财政支出项目绩效自评工作的通知》等文件精神，结合实际，我室组织成立了绩效评价工作小组，评价小组通过检查专项资金有关账目，收集整理专项资金支出相关资料，并根据本室的支出材料进行分析、总结，现将我室的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年教育督导专项资金绩效自评结果报告如下：</w:t>
      </w:r>
    </w:p>
    <w:p>
      <w:pPr>
        <w:spacing w:line="580" w:lineRule="exact"/>
        <w:ind w:firstLine="643" w:firstLineChars="200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一、基本情况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我室狠抓重点工作，较好地完成了各项目标任务，取得了较好的社会效益。根据我室的工作职能和职责、按照项目资金的使用内容和用途，本室项目资金支出主要有四项：一是国家义务教育质量监测工作经费。二是学前教育规范办园行为督导评估工作经费。三是国家义务教育标准化学校督导评估工作经费。四是专项督导、常规督导及督学培训旅差费用。这4个项目是督导工作项目，资金来源为年初财政预算。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年教育督导专项经费,县财政局于202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cs="宋体"/>
          <w:sz w:val="32"/>
          <w:szCs w:val="32"/>
        </w:rPr>
        <w:t>月下达指标到教育局，由教育局采用直接支付或授权支付形式支付，能够按时足额拨付，无截留、挪用现象。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二、绩效指标分析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（一）绩效指标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为确保教育督导专项经费资金运行的规范性，我局由计财股负责我县教育督导专项经费的支出审核与监管，在所有权、使用权、财务自主权、会计主体法律责任不变的前提下，实行“资金局管”的财务管理模式。所有开支实行国库集中支付，确保专款专用，杜绝不合理的开支。运行模式执行至今，一直能够按照职责分工较好地履行职责。</w:t>
      </w:r>
    </w:p>
    <w:p>
      <w:pPr>
        <w:spacing w:line="580" w:lineRule="exact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严格执行</w:t>
      </w:r>
      <w:r>
        <w:rPr>
          <w:rFonts w:hint="eastAsia" w:ascii="仿宋_GB2312" w:hAnsi="宋体" w:cs="宋体"/>
          <w:color w:val="000000"/>
          <w:sz w:val="32"/>
          <w:szCs w:val="32"/>
        </w:rPr>
        <w:t>翁源县财政局关于使用财政教育专项资金有关事项的通知</w:t>
      </w:r>
      <w:r>
        <w:rPr>
          <w:rFonts w:hint="eastAsia" w:ascii="仿宋_GB2312" w:hAnsi="宋体" w:cs="宋体"/>
          <w:color w:val="000000"/>
          <w:sz w:val="32"/>
          <w:szCs w:val="32"/>
          <w:lang w:eastAsia="zh-CN"/>
        </w:rPr>
        <w:t>精神</w:t>
      </w:r>
      <w:r>
        <w:rPr>
          <w:rFonts w:hint="eastAsia" w:ascii="仿宋_GB2312" w:hAnsi="宋体" w:cs="宋体"/>
          <w:color w:val="000000"/>
          <w:sz w:val="32"/>
          <w:szCs w:val="32"/>
        </w:rPr>
        <w:t>，确保202</w:t>
      </w:r>
      <w:r>
        <w:rPr>
          <w:rFonts w:hint="eastAsia" w:ascii="仿宋_GB2312" w:hAnsi="宋体" w:cs="宋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cs="宋体"/>
          <w:color w:val="000000"/>
          <w:sz w:val="32"/>
          <w:szCs w:val="32"/>
        </w:rPr>
        <w:t>年教育督导专项经费安全、规范支出，使其发挥最大的资金绩效。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 w:cs="宋体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bCs/>
          <w:sz w:val="32"/>
          <w:szCs w:val="32"/>
        </w:rPr>
        <w:t>（二）实施程序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年，教育局计财股组织内审人员进行了专项经费专项审计，202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教育督导专项经费支出流程规范，经费使用公开。公用经费按要求用于教育督导的评估费、劳务费、伙食费、交通费等属于教育督导性质的费用开支，确保教育督导工作的正常运转，没有用于工作人员津贴、福利或者上缴各级政府行政部门的违规支出现象；支出审批严格、及时，账目完整清晰，支出凭证合格。按上级相关部门的文件要求，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年上述资金已全部到位，我县教育督导专项经费管理运行正常。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 w:cs="宋体"/>
          <w:b/>
          <w:sz w:val="32"/>
          <w:szCs w:val="32"/>
        </w:rPr>
      </w:pPr>
      <w:r>
        <w:rPr>
          <w:rFonts w:hint="eastAsia" w:ascii="楷体_GB2312" w:hAnsi="宋体" w:eastAsia="楷体_GB2312" w:cs="宋体"/>
          <w:b/>
          <w:sz w:val="32"/>
          <w:szCs w:val="32"/>
        </w:rPr>
        <w:t>（三）专项资金使用及管理情况</w:t>
      </w:r>
    </w:p>
    <w:p>
      <w:pPr>
        <w:spacing w:line="580" w:lineRule="exact"/>
        <w:ind w:firstLine="643" w:firstLineChars="200"/>
        <w:rPr>
          <w:rFonts w:hint="eastAsia" w:ascii="仿宋_GB2312" w:hAnsiTheme="minorEastAsia"/>
          <w:sz w:val="32"/>
          <w:szCs w:val="32"/>
        </w:rPr>
      </w:pPr>
      <w:r>
        <w:rPr>
          <w:rFonts w:hint="eastAsia" w:ascii="仿宋_GB2312" w:hAnsiTheme="minorEastAsia"/>
          <w:b/>
          <w:sz w:val="32"/>
          <w:szCs w:val="32"/>
        </w:rPr>
        <w:t>1.预算情况。</w:t>
      </w:r>
      <w:r>
        <w:rPr>
          <w:rFonts w:hint="eastAsia" w:ascii="仿宋_GB2312" w:hAnsiTheme="minorEastAsia"/>
          <w:sz w:val="32"/>
          <w:szCs w:val="32"/>
        </w:rPr>
        <w:t>我室项目支出年初预算为15万元，其中用于学前教育规范办园行为督导评估工作经费3万元；用于中小学校年度考核工作经费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3</w:t>
      </w:r>
      <w:r>
        <w:rPr>
          <w:rFonts w:hint="eastAsia" w:ascii="仿宋_GB2312" w:hAnsiTheme="minorEastAsia"/>
          <w:sz w:val="32"/>
          <w:szCs w:val="32"/>
        </w:rPr>
        <w:t>万元；用于教育专项督导、常规督导及督学培训工作经费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6</w:t>
      </w:r>
      <w:r>
        <w:rPr>
          <w:rFonts w:hint="eastAsia" w:ascii="仿宋_GB2312" w:hAnsiTheme="minorEastAsia"/>
          <w:sz w:val="32"/>
          <w:szCs w:val="32"/>
        </w:rPr>
        <w:t>万元</w:t>
      </w:r>
      <w:r>
        <w:rPr>
          <w:rFonts w:hint="eastAsia" w:ascii="仿宋_GB2312" w:hAnsiTheme="minorEastAsia"/>
          <w:sz w:val="32"/>
          <w:szCs w:val="32"/>
          <w:lang w:eastAsia="zh-CN"/>
        </w:rPr>
        <w:t>；其它：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3</w:t>
      </w:r>
      <w:r>
        <w:rPr>
          <w:rFonts w:hint="eastAsia" w:ascii="仿宋_GB2312" w:hAnsiTheme="minorEastAsia"/>
          <w:sz w:val="32"/>
          <w:szCs w:val="32"/>
        </w:rPr>
        <w:t>万元。</w:t>
      </w:r>
    </w:p>
    <w:p>
      <w:pPr>
        <w:spacing w:line="580" w:lineRule="exact"/>
        <w:ind w:firstLine="643" w:firstLineChars="200"/>
        <w:rPr>
          <w:rFonts w:hint="eastAsia" w:ascii="仿宋_GB2312" w:hAnsiTheme="minorEastAsia"/>
          <w:sz w:val="32"/>
          <w:szCs w:val="32"/>
        </w:rPr>
      </w:pPr>
      <w:r>
        <w:rPr>
          <w:rFonts w:hint="eastAsia" w:ascii="仿宋_GB2312" w:hAnsiTheme="minorEastAsia"/>
          <w:b/>
          <w:sz w:val="32"/>
          <w:szCs w:val="32"/>
        </w:rPr>
        <w:t>2.使用情况。</w:t>
      </w:r>
      <w:r>
        <w:rPr>
          <w:rFonts w:hint="eastAsia" w:ascii="仿宋_GB2312" w:hAnsiTheme="minorEastAsia"/>
          <w:sz w:val="32"/>
          <w:szCs w:val="32"/>
        </w:rPr>
        <w:t>202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hAnsiTheme="minorEastAsia"/>
          <w:sz w:val="32"/>
          <w:szCs w:val="32"/>
        </w:rPr>
        <w:t>年我室项目实际支出决算为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7.0708</w:t>
      </w:r>
      <w:r>
        <w:rPr>
          <w:rFonts w:hint="eastAsia" w:ascii="仿宋_GB2312" w:hAnsiTheme="minorEastAsia"/>
          <w:sz w:val="32"/>
          <w:szCs w:val="32"/>
        </w:rPr>
        <w:t>万元，具体如下：一是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广东省</w:t>
      </w:r>
      <w:r>
        <w:rPr>
          <w:rFonts w:hint="eastAsia" w:ascii="仿宋_GB2312" w:hAnsiTheme="minorEastAsia"/>
          <w:sz w:val="32"/>
          <w:szCs w:val="32"/>
        </w:rPr>
        <w:t>义务教育质量监测支出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3776元</w:t>
      </w:r>
      <w:r>
        <w:rPr>
          <w:rFonts w:hint="eastAsia" w:ascii="仿宋_GB2312" w:hAnsiTheme="minorEastAsia"/>
          <w:sz w:val="32"/>
          <w:szCs w:val="32"/>
          <w:lang w:eastAsia="zh-CN"/>
        </w:rPr>
        <w:t>。</w:t>
      </w:r>
      <w:r>
        <w:rPr>
          <w:rFonts w:hint="eastAsia" w:ascii="仿宋_GB2312" w:hAnsiTheme="minorEastAsia"/>
          <w:sz w:val="32"/>
          <w:szCs w:val="32"/>
        </w:rPr>
        <w:t>用于开展义务教育质量监测的试卷邮寄、领取质量监测工具旅差、省视导员旅差、保密人员补助、工作人员补助等相关费用</w:t>
      </w:r>
      <w:r>
        <w:rPr>
          <w:rFonts w:hint="eastAsia" w:ascii="仿宋_GB2312" w:hAnsiTheme="minorEastAsia"/>
          <w:sz w:val="32"/>
          <w:szCs w:val="32"/>
          <w:lang w:eastAsia="zh-CN"/>
        </w:rPr>
        <w:t>，由教育质量评价经费项目开支</w:t>
      </w:r>
      <w:r>
        <w:rPr>
          <w:rFonts w:hint="eastAsia" w:ascii="仿宋_GB2312" w:hAnsiTheme="minorEastAsia"/>
          <w:sz w:val="32"/>
          <w:szCs w:val="32"/>
        </w:rPr>
        <w:t>；二是开展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省教育强镇复评</w:t>
      </w:r>
      <w:r>
        <w:rPr>
          <w:rFonts w:hint="eastAsia" w:ascii="仿宋_GB2312" w:hAnsiTheme="minorEastAsia"/>
          <w:sz w:val="32"/>
          <w:szCs w:val="32"/>
        </w:rPr>
        <w:t>督导评估工作经费支出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47201元</w:t>
      </w:r>
      <w:r>
        <w:rPr>
          <w:rFonts w:hint="eastAsia" w:ascii="仿宋_GB2312" w:hAnsiTheme="minorEastAsia"/>
          <w:sz w:val="32"/>
          <w:szCs w:val="32"/>
        </w:rPr>
        <w:t>，主要用于评估专家伙食费、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劳务费</w:t>
      </w:r>
      <w:r>
        <w:rPr>
          <w:rFonts w:hint="eastAsia" w:ascii="仿宋_GB2312" w:hAnsiTheme="minorEastAsia"/>
          <w:sz w:val="32"/>
          <w:szCs w:val="32"/>
        </w:rPr>
        <w:t>等工作等方面支出；三是开展</w:t>
      </w:r>
      <w:r>
        <w:rPr>
          <w:rFonts w:hint="eastAsia" w:ascii="仿宋_GB2312" w:hAnsiTheme="minorEastAsia"/>
          <w:sz w:val="32"/>
          <w:szCs w:val="32"/>
          <w:lang w:eastAsia="zh-CN"/>
        </w:rPr>
        <w:t>中小学、幼儿园年度工作</w:t>
      </w:r>
      <w:r>
        <w:rPr>
          <w:rFonts w:hint="eastAsia" w:ascii="仿宋_GB2312" w:hAnsiTheme="minorEastAsia"/>
          <w:sz w:val="32"/>
          <w:szCs w:val="32"/>
        </w:rPr>
        <w:t>督导评估经费</w:t>
      </w:r>
      <w:r>
        <w:rPr>
          <w:rFonts w:hint="eastAsia" w:ascii="仿宋_GB2312" w:hAnsiTheme="minorEastAsia"/>
          <w:sz w:val="32"/>
          <w:szCs w:val="32"/>
          <w:lang w:eastAsia="zh-CN"/>
        </w:rPr>
        <w:t>及奖牌费用</w:t>
      </w:r>
      <w:r>
        <w:rPr>
          <w:rFonts w:hint="eastAsia" w:ascii="仿宋_GB2312" w:hAnsiTheme="minorEastAsia"/>
          <w:sz w:val="32"/>
          <w:szCs w:val="32"/>
        </w:rPr>
        <w:t>支出14284元；四是开展教育专项督导、常规督导及督学培训工作经费支出</w:t>
      </w:r>
      <w:r>
        <w:rPr>
          <w:rFonts w:hint="eastAsia" w:ascii="仿宋_GB2312" w:hAnsiTheme="minorEastAsia"/>
          <w:sz w:val="32"/>
          <w:szCs w:val="32"/>
          <w:lang w:val="en-US" w:eastAsia="zh-CN"/>
        </w:rPr>
        <w:t>及其他费用支出5447元</w:t>
      </w:r>
      <w:r>
        <w:rPr>
          <w:rFonts w:hint="eastAsia" w:ascii="仿宋_GB2312" w:hAnsiTheme="minorEastAsia"/>
          <w:sz w:val="32"/>
          <w:szCs w:val="32"/>
        </w:rPr>
        <w:t>，主要用于专、兼职督学及督导工作人员伙食费、交通费等</w:t>
      </w:r>
      <w:r>
        <w:rPr>
          <w:rFonts w:hint="eastAsia" w:ascii="仿宋_GB2312" w:hAnsiTheme="minorEastAsia"/>
          <w:sz w:val="32"/>
          <w:szCs w:val="32"/>
          <w:lang w:eastAsia="zh-CN"/>
        </w:rPr>
        <w:t>旅差</w:t>
      </w:r>
      <w:r>
        <w:rPr>
          <w:rFonts w:hint="eastAsia" w:ascii="仿宋_GB2312" w:hAnsiTheme="minorEastAsia"/>
          <w:sz w:val="32"/>
          <w:szCs w:val="32"/>
        </w:rPr>
        <w:t>工作等方面支出。</w:t>
      </w:r>
    </w:p>
    <w:p>
      <w:pPr>
        <w:spacing w:line="580" w:lineRule="exact"/>
        <w:ind w:firstLine="643" w:firstLineChars="200"/>
        <w:rPr>
          <w:rFonts w:hint="eastAsia" w:ascii="仿宋_GB2312" w:hAnsi="宋体" w:cs="宋体"/>
          <w:b/>
          <w:sz w:val="32"/>
          <w:szCs w:val="32"/>
        </w:rPr>
      </w:pPr>
      <w:r>
        <w:rPr>
          <w:rFonts w:hint="eastAsia" w:ascii="仿宋_GB2312" w:hAnsiTheme="minorEastAsia"/>
          <w:b/>
          <w:sz w:val="32"/>
          <w:szCs w:val="32"/>
        </w:rPr>
        <w:t>3.管理情况。</w:t>
      </w:r>
      <w:r>
        <w:rPr>
          <w:rFonts w:hint="eastAsia" w:ascii="仿宋_GB2312" w:hAnsiTheme="minorEastAsia"/>
          <w:sz w:val="32"/>
          <w:szCs w:val="32"/>
        </w:rPr>
        <w:t>项目所有开支均按照有关制度执行，资金的使用全部实行专账管理，专款专用，严格把关，整个项目的运行完全按照我室内部管理制度、县委、县政府及财政的有关规定执行。我室内部不定期进行抽查，严格人员作风，不存在违规违法的问题。各个项目资金使用与具体项目实施内容相符，绩效总目标和阶段性目标都已按照计划完成，未逾期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三、综合评价结论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color w:val="0F0F0F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由于教育督导专项经费的及时到位，</w:t>
      </w:r>
      <w:r>
        <w:rPr>
          <w:rFonts w:hint="eastAsia" w:ascii="仿宋_GB2312" w:hAnsi="宋体" w:cs="宋体"/>
          <w:color w:val="0F0F0F"/>
          <w:sz w:val="32"/>
          <w:szCs w:val="32"/>
        </w:rPr>
        <w:t>资金到位及支出率达100%，支出规范、合理，实行国库直接支付或授权支付，无虚列项目支出情况和截留、挤占、挪用项目资金情况。</w:t>
      </w:r>
      <w:r>
        <w:rPr>
          <w:rFonts w:hint="eastAsia" w:ascii="仿宋_GB2312" w:hAnsi="宋体" w:cs="宋体"/>
          <w:sz w:val="32"/>
          <w:szCs w:val="32"/>
        </w:rPr>
        <w:t>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年教育督导专项经费的投入，教育督导工作得到了很大的改善，督导水平不断提高，激发了督学的工作兴趣，效果明显，使学校的教学质量不断攀升。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color w:val="0F0F0F"/>
          <w:sz w:val="32"/>
          <w:szCs w:val="32"/>
        </w:rPr>
        <w:t>本次项目立项明确、计划合理、完成质量高、资金到位及时，项目的申请、设立过程符合相关要求，设定的绩效目标合理，绩效指标细化、明确、清晰、可衡量。项目完成率100%、完成及时率100%、质量达标率100%、成本节约率100%。项目实施对社会效益好，教育发展需要，可持续影响对当地经济发挥更好效益、社会公众的满意度非常高。我们对本项目的完成情况是较满意的，自评是良好的，自评得分为99分。</w:t>
      </w:r>
      <w:r>
        <w:rPr>
          <w:rFonts w:hint="eastAsia" w:ascii="仿宋_GB2312" w:hAnsi="宋体" w:cs="宋体"/>
          <w:b/>
          <w:bCs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四、绩效表现</w:t>
      </w:r>
    </w:p>
    <w:p>
      <w:pPr>
        <w:spacing w:line="580" w:lineRule="exact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（一） 县级配套资金于202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cs="宋体"/>
          <w:sz w:val="32"/>
          <w:szCs w:val="32"/>
        </w:rPr>
        <w:t>年</w:t>
      </w:r>
      <w:r>
        <w:rPr>
          <w:rFonts w:hint="eastAsia" w:ascii="仿宋_GB2312" w:hAnsi="宋体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cs="宋体"/>
          <w:sz w:val="32"/>
          <w:szCs w:val="32"/>
        </w:rPr>
        <w:t>月底前都已拨付到位。</w:t>
      </w:r>
    </w:p>
    <w:p>
      <w:pPr>
        <w:spacing w:line="580" w:lineRule="exact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（二）所有专项经费全部实行国库集中支付。</w:t>
      </w:r>
    </w:p>
    <w:p>
      <w:pPr>
        <w:spacing w:line="580" w:lineRule="exact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   （三）核算及帐务处理。我县教育督导专项经费在县教育局计财股实行电算化核算，所有支出票据合法有效，处理规范，无白条入帐等违规行为发生。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b/>
          <w:bCs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（四）专项经费核拨标准符合（15万元/年）要求，无挤占、截留、挪用问题，也未发现违规收费问题。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五、存在问题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从教育督导专项经费的运行情况看，专项经费切实得到了有效保障，并能合理使用，促进了基础教育的发展，能维持运转，但对督学人员的补助相对欠缺，对督学工作要求高，工作比较细致、比较精准、压力比较大，只仅仅是解决开展督学工作中的交通、伙食费，对于相关的绩效没有协及，没有相关的政策作为支撑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sz w:val="32"/>
          <w:szCs w:val="32"/>
        </w:rPr>
        <w:t>六</w:t>
      </w:r>
      <w:r>
        <w:rPr>
          <w:rFonts w:hint="eastAsia" w:ascii="黑体" w:hAnsi="黑体" w:eastAsia="黑体" w:cs="宋体"/>
          <w:bCs/>
          <w:sz w:val="32"/>
          <w:szCs w:val="32"/>
        </w:rPr>
        <w:t>、改进意见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一是进一步健全和完善财务管理制度及内部控制制度，创新管理手段，用新思路、新方法，改进完善财务管理方法。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  <w:r>
        <w:rPr>
          <w:rFonts w:hint="eastAsia" w:ascii="仿宋_GB2312" w:hAnsi="宋体" w:cs="宋体"/>
          <w:sz w:val="32"/>
          <w:szCs w:val="32"/>
        </w:rPr>
        <w:t>二是按照财政支出绩效管理的要求，建立科学的财政资金效益考评制度体系，不断提高财政资金使用管理的水平和效率。</w:t>
      </w: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_GB2312" w:hAnsi="宋体" w:cs="宋体"/>
          <w:sz w:val="32"/>
          <w:szCs w:val="32"/>
        </w:rPr>
      </w:pPr>
    </w:p>
    <w:p>
      <w:pPr>
        <w:spacing w:line="580" w:lineRule="exact"/>
        <w:jc w:val="center"/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  <w:t xml:space="preserve">                       翁源县教育局</w:t>
      </w:r>
    </w:p>
    <w:p>
      <w:pPr>
        <w:spacing w:line="580" w:lineRule="exact"/>
        <w:jc w:val="center"/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  <w:t xml:space="preserve">                       202</w:t>
      </w: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  <w:lang w:val="en-US" w:eastAsia="zh-CN"/>
        </w:rPr>
        <w:t>29</w:t>
      </w:r>
      <w:r>
        <w:rPr>
          <w:rFonts w:hint="eastAsia" w:ascii="仿宋_GB2312" w:hAnsi="宋体" w:cs="宋体"/>
          <w:color w:val="000000"/>
          <w:sz w:val="32"/>
          <w:szCs w:val="32"/>
          <w:shd w:val="clear" w:color="auto" w:fill="FFFFFF"/>
        </w:rPr>
        <w:t>日</w:t>
      </w:r>
    </w:p>
    <w:p>
      <w:pPr>
        <w:spacing w:line="58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7937551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hint="eastAsia" w:asciiTheme="minorEastAsia" w:hAnsiTheme="minorEastAsia"/>
            <w:sz w:val="28"/>
            <w:szCs w:val="28"/>
          </w:rPr>
          <w:t>－　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　－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NmQ0ZGIwZTBhOGE2MWNmOTNhNzA3ZTc5ZjM5OTYifQ=="/>
  </w:docVars>
  <w:rsids>
    <w:rsidRoot w:val="00FF2188"/>
    <w:rsid w:val="00033FA9"/>
    <w:rsid w:val="000539DA"/>
    <w:rsid w:val="0006055F"/>
    <w:rsid w:val="000673EB"/>
    <w:rsid w:val="0009735C"/>
    <w:rsid w:val="00141488"/>
    <w:rsid w:val="001646D4"/>
    <w:rsid w:val="001C1D94"/>
    <w:rsid w:val="001C6BC4"/>
    <w:rsid w:val="001D061E"/>
    <w:rsid w:val="001D4D0B"/>
    <w:rsid w:val="00277C4E"/>
    <w:rsid w:val="002A6585"/>
    <w:rsid w:val="0033272B"/>
    <w:rsid w:val="00396D55"/>
    <w:rsid w:val="003F7B26"/>
    <w:rsid w:val="004363C8"/>
    <w:rsid w:val="00440AE0"/>
    <w:rsid w:val="004C0F28"/>
    <w:rsid w:val="005F2E91"/>
    <w:rsid w:val="006129E3"/>
    <w:rsid w:val="00612FF7"/>
    <w:rsid w:val="006337FF"/>
    <w:rsid w:val="00680935"/>
    <w:rsid w:val="006A56BB"/>
    <w:rsid w:val="006D4E28"/>
    <w:rsid w:val="007138F9"/>
    <w:rsid w:val="007821C0"/>
    <w:rsid w:val="00785354"/>
    <w:rsid w:val="0080182C"/>
    <w:rsid w:val="008122D6"/>
    <w:rsid w:val="00896FBC"/>
    <w:rsid w:val="009A3124"/>
    <w:rsid w:val="009D258F"/>
    <w:rsid w:val="009F63CF"/>
    <w:rsid w:val="00A40466"/>
    <w:rsid w:val="00A94FCA"/>
    <w:rsid w:val="00AD0916"/>
    <w:rsid w:val="00B05443"/>
    <w:rsid w:val="00B33F08"/>
    <w:rsid w:val="00BB0674"/>
    <w:rsid w:val="00C90F9F"/>
    <w:rsid w:val="00CE225A"/>
    <w:rsid w:val="00D121DF"/>
    <w:rsid w:val="00D411CE"/>
    <w:rsid w:val="00D479E6"/>
    <w:rsid w:val="00D83CCE"/>
    <w:rsid w:val="00DF15DB"/>
    <w:rsid w:val="00E10DAB"/>
    <w:rsid w:val="00E168E3"/>
    <w:rsid w:val="00E77F3B"/>
    <w:rsid w:val="00EE4CCF"/>
    <w:rsid w:val="00EF5B8A"/>
    <w:rsid w:val="00F05297"/>
    <w:rsid w:val="00FE0AF3"/>
    <w:rsid w:val="00FE150E"/>
    <w:rsid w:val="00FF2188"/>
    <w:rsid w:val="0A820FC9"/>
    <w:rsid w:val="0C3F0E4C"/>
    <w:rsid w:val="0F0021B4"/>
    <w:rsid w:val="17D31922"/>
    <w:rsid w:val="1A944941"/>
    <w:rsid w:val="1E8E149C"/>
    <w:rsid w:val="2E3D58F0"/>
    <w:rsid w:val="344B40D8"/>
    <w:rsid w:val="34706853"/>
    <w:rsid w:val="38C609E9"/>
    <w:rsid w:val="3CE0073A"/>
    <w:rsid w:val="43507B05"/>
    <w:rsid w:val="4A872C26"/>
    <w:rsid w:val="4E794D35"/>
    <w:rsid w:val="51C941AF"/>
    <w:rsid w:val="53915C12"/>
    <w:rsid w:val="58805E7F"/>
    <w:rsid w:val="6B2F3206"/>
    <w:rsid w:val="6E181CEA"/>
    <w:rsid w:val="74D72186"/>
    <w:rsid w:val="78A53900"/>
    <w:rsid w:val="7CB409CD"/>
    <w:rsid w:val="7E40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before="120" w:after="120"/>
      <w:jc w:val="left"/>
    </w:pPr>
    <w:rPr>
      <w:rFonts w:ascii="Calibri" w:hAnsi="Calibri" w:eastAsia="宋体"/>
      <w:b/>
      <w:bCs/>
      <w:caps/>
      <w:sz w:val="20"/>
      <w:szCs w:val="20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2307</Words>
  <Characters>2409</Characters>
  <Lines>20</Lines>
  <Paragraphs>5</Paragraphs>
  <TotalTime>40</TotalTime>
  <ScaleCrop>false</ScaleCrop>
  <LinksUpToDate>false</LinksUpToDate>
  <CharactersWithSpaces>2493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2021-04-07T02:32:00Z</dcterms:created>
  <dc:creator>wfgsdk</dc:creator>
  <cp:lastModifiedBy>1</cp:lastModifiedBy>
  <cp:lastPrinted>2022-05-16T06:55:00Z</cp:lastPrinted>
  <dcterms:modified xsi:type="dcterms:W3CDTF">2023-03-24T03:23:11Z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36FAA7865D7540AEBDD6AAA26F880CCB</vt:lpwstr>
  </property>
</Properties>
</file>