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Times New Roman"/>
          <w:b/>
          <w:color w:val="auto"/>
          <w:sz w:val="52"/>
          <w:szCs w:val="52"/>
          <w:highlight w:val="none"/>
        </w:rPr>
      </w:pPr>
      <w:bookmarkStart w:id="0" w:name="_Toc415840318"/>
    </w:p>
    <w:p>
      <w:pPr>
        <w:jc w:val="center"/>
        <w:rPr>
          <w:rFonts w:hint="eastAsia" w:ascii="宋体" w:hAnsi="宋体" w:eastAsia="宋体" w:cs="Times New Roman"/>
          <w:b/>
          <w:color w:val="auto"/>
          <w:sz w:val="56"/>
          <w:szCs w:val="56"/>
          <w:highlight w:val="none"/>
        </w:rPr>
      </w:pPr>
      <w:r>
        <w:rPr>
          <w:rFonts w:hint="eastAsia" w:ascii="宋体" w:hAnsi="宋体" w:eastAsia="宋体" w:cs="Times New Roman"/>
          <w:b/>
          <w:color w:val="auto"/>
          <w:sz w:val="56"/>
          <w:szCs w:val="56"/>
          <w:highlight w:val="none"/>
        </w:rPr>
        <w:t>翁源县县域高中提升建设项目（翁源县新区中学建设项目）</w:t>
      </w:r>
    </w:p>
    <w:p>
      <w:pPr>
        <w:jc w:val="center"/>
        <w:rPr>
          <w:rFonts w:hint="eastAsia" w:ascii="宋体" w:hAnsi="宋体" w:eastAsia="宋体" w:cs="Times New Roman"/>
          <w:b/>
          <w:color w:val="auto"/>
          <w:sz w:val="52"/>
          <w:szCs w:val="52"/>
          <w:highlight w:val="none"/>
        </w:rPr>
      </w:pPr>
    </w:p>
    <w:p>
      <w:pPr>
        <w:jc w:val="center"/>
        <w:rPr>
          <w:rFonts w:hint="eastAsia"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设</w:t>
      </w:r>
    </w:p>
    <w:p>
      <w:pPr>
        <w:jc w:val="center"/>
        <w:rPr>
          <w:rFonts w:hint="eastAsia" w:ascii="宋体" w:hAnsi="宋体" w:eastAsia="宋体" w:cs="Times New Roman"/>
          <w:b/>
          <w:color w:val="auto"/>
          <w:sz w:val="72"/>
          <w:szCs w:val="72"/>
          <w:highlight w:val="none"/>
        </w:rPr>
      </w:pPr>
    </w:p>
    <w:p>
      <w:pPr>
        <w:jc w:val="center"/>
        <w:rPr>
          <w:rFonts w:hint="eastAsia"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计</w:t>
      </w:r>
    </w:p>
    <w:p>
      <w:pPr>
        <w:jc w:val="center"/>
        <w:rPr>
          <w:rFonts w:hint="eastAsia" w:ascii="宋体" w:hAnsi="宋体" w:eastAsia="宋体" w:cs="Times New Roman"/>
          <w:b/>
          <w:color w:val="auto"/>
          <w:sz w:val="72"/>
          <w:szCs w:val="72"/>
          <w:highlight w:val="none"/>
        </w:rPr>
      </w:pPr>
    </w:p>
    <w:p>
      <w:pPr>
        <w:jc w:val="center"/>
        <w:rPr>
          <w:rFonts w:hint="eastAsia"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任</w:t>
      </w:r>
    </w:p>
    <w:p>
      <w:pPr>
        <w:jc w:val="center"/>
        <w:rPr>
          <w:rFonts w:hint="eastAsia" w:ascii="宋体" w:hAnsi="宋体" w:eastAsia="宋体" w:cs="Times New Roman"/>
          <w:b/>
          <w:color w:val="auto"/>
          <w:sz w:val="72"/>
          <w:szCs w:val="72"/>
          <w:highlight w:val="none"/>
        </w:rPr>
      </w:pPr>
    </w:p>
    <w:p>
      <w:pPr>
        <w:jc w:val="center"/>
        <w:rPr>
          <w:rFonts w:hint="eastAsia"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务</w:t>
      </w:r>
    </w:p>
    <w:p>
      <w:pPr>
        <w:jc w:val="center"/>
        <w:rPr>
          <w:rFonts w:hint="eastAsia" w:ascii="宋体" w:hAnsi="宋体" w:eastAsia="宋体" w:cs="Times New Roman"/>
          <w:b/>
          <w:color w:val="auto"/>
          <w:sz w:val="72"/>
          <w:szCs w:val="72"/>
          <w:highlight w:val="none"/>
        </w:rPr>
      </w:pPr>
    </w:p>
    <w:p>
      <w:pPr>
        <w:jc w:val="center"/>
        <w:rPr>
          <w:rFonts w:hint="eastAsia"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书</w:t>
      </w:r>
    </w:p>
    <w:p>
      <w:pPr>
        <w:pStyle w:val="44"/>
        <w:rPr>
          <w:rFonts w:hint="eastAsia" w:ascii="宋体" w:hAnsi="宋体" w:eastAsia="宋体" w:cs="Times New Roman"/>
          <w:b/>
          <w:color w:val="auto"/>
          <w:sz w:val="52"/>
          <w:szCs w:val="52"/>
          <w:highlight w:val="none"/>
        </w:rPr>
      </w:pPr>
    </w:p>
    <w:p>
      <w:pPr>
        <w:pStyle w:val="2"/>
        <w:jc w:val="both"/>
        <w:rPr>
          <w:rFonts w:hint="eastAsia" w:ascii="宋体" w:hAnsi="宋体" w:eastAsia="宋体" w:cs="宋体"/>
          <w:color w:val="auto"/>
          <w:highlight w:val="none"/>
        </w:rPr>
        <w:sectPr>
          <w:footerReference r:id="rId4" w:type="first"/>
          <w:footerReference r:id="rId3" w:type="default"/>
          <w:footnotePr>
            <w:numRestart w:val="eachPage"/>
          </w:footnotePr>
          <w:pgSz w:w="11906" w:h="16838"/>
          <w:pgMar w:top="1418" w:right="1418" w:bottom="1418" w:left="1418" w:header="851" w:footer="992" w:gutter="0"/>
          <w:pgNumType w:start="1"/>
          <w:cols w:space="720" w:num="1"/>
          <w:docGrid w:type="lines" w:linePitch="312" w:charSpace="0"/>
        </w:sectPr>
      </w:pPr>
      <w:bookmarkStart w:id="1" w:name="_Toc452558296"/>
      <w:bookmarkStart w:id="2" w:name="_Toc29128"/>
      <w:bookmarkStart w:id="3" w:name="_Toc18810"/>
      <w:bookmarkStart w:id="4" w:name="_Toc452558092"/>
      <w:bookmarkStart w:id="5" w:name="_Toc452973676"/>
      <w:bookmarkStart w:id="6" w:name="_Toc448"/>
      <w:bookmarkStart w:id="7" w:name="_Toc19265"/>
      <w:bookmarkStart w:id="8" w:name="_Toc5080"/>
      <w:bookmarkStart w:id="9" w:name="_Toc27134"/>
    </w:p>
    <w:p>
      <w:pPr>
        <w:pStyle w:val="2"/>
        <w:spacing w:line="240" w:lineRule="auto"/>
        <w:jc w:val="left"/>
        <w:rPr>
          <w:rFonts w:hint="eastAsia" w:ascii="宋体" w:hAnsi="宋体" w:eastAsia="宋体" w:cs="宋体"/>
          <w:color w:val="auto"/>
          <w:sz w:val="32"/>
          <w:szCs w:val="32"/>
          <w:highlight w:val="none"/>
        </w:rPr>
      </w:pPr>
      <w:bookmarkStart w:id="10" w:name="_Toc10481"/>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 xml:space="preserve"> 项目概况</w:t>
      </w:r>
      <w:bookmarkEnd w:id="1"/>
      <w:bookmarkEnd w:id="2"/>
      <w:bookmarkEnd w:id="3"/>
      <w:bookmarkEnd w:id="4"/>
      <w:bookmarkEnd w:id="5"/>
      <w:bookmarkEnd w:id="6"/>
      <w:bookmarkEnd w:id="7"/>
      <w:bookmarkEnd w:id="8"/>
      <w:bookmarkEnd w:id="9"/>
      <w:bookmarkEnd w:id="10"/>
    </w:p>
    <w:p>
      <w:pPr>
        <w:pStyle w:val="3"/>
        <w:spacing w:line="240" w:lineRule="auto"/>
        <w:rPr>
          <w:rFonts w:hint="eastAsia" w:ascii="宋体" w:hAnsi="宋体" w:eastAsia="宋体" w:cs="宋体"/>
          <w:b/>
          <w:bCs w:val="0"/>
          <w:color w:val="auto"/>
          <w:sz w:val="28"/>
          <w:szCs w:val="28"/>
          <w:highlight w:val="none"/>
          <w:lang w:val="en-US" w:eastAsia="zh-CN"/>
        </w:rPr>
      </w:pPr>
      <w:bookmarkStart w:id="11" w:name="_Toc29465"/>
      <w:bookmarkStart w:id="12" w:name="_Toc415840322"/>
      <w:bookmarkStart w:id="13" w:name="_Toc1753"/>
      <w:bookmarkStart w:id="14" w:name="_Toc25658"/>
      <w:bookmarkStart w:id="15" w:name="_Toc27413"/>
      <w:bookmarkStart w:id="16" w:name="_Toc452558298"/>
      <w:bookmarkStart w:id="17" w:name="_Toc21929"/>
      <w:bookmarkStart w:id="18" w:name="_Toc452973678"/>
      <w:r>
        <w:rPr>
          <w:rFonts w:hint="eastAsia" w:ascii="宋体" w:hAnsi="宋体" w:eastAsia="宋体" w:cs="宋体"/>
          <w:b/>
          <w:bCs w:val="0"/>
          <w:color w:val="auto"/>
          <w:sz w:val="28"/>
          <w:szCs w:val="28"/>
          <w:highlight w:val="none"/>
          <w:lang w:val="en-US" w:eastAsia="zh-CN"/>
        </w:rPr>
        <w:t>1.1.项目名称</w:t>
      </w:r>
      <w:bookmarkEnd w:id="11"/>
      <w:bookmarkEnd w:id="12"/>
      <w:bookmarkEnd w:id="13"/>
      <w:bookmarkEnd w:id="14"/>
      <w:bookmarkEnd w:id="15"/>
      <w:bookmarkEnd w:id="16"/>
      <w:bookmarkEnd w:id="17"/>
      <w:bookmarkEnd w:id="18"/>
    </w:p>
    <w:p>
      <w:pPr>
        <w:spacing w:line="360" w:lineRule="auto"/>
        <w:ind w:firstLine="480" w:firstLineChars="200"/>
        <w:rPr>
          <w:rFonts w:hint="eastAsia" w:ascii="宋体" w:hAnsi="宋体" w:cs="宋体"/>
          <w:color w:val="auto"/>
          <w:sz w:val="24"/>
          <w:highlight w:val="none"/>
          <w:lang w:val="en-US" w:eastAsia="zh-CN"/>
        </w:rPr>
      </w:pPr>
      <w:bookmarkStart w:id="19" w:name="_Toc25264"/>
      <w:bookmarkStart w:id="20" w:name="_Toc20264"/>
      <w:bookmarkStart w:id="21" w:name="_Toc11809"/>
      <w:bookmarkStart w:id="22" w:name="_Toc452973679"/>
      <w:bookmarkStart w:id="23" w:name="_Toc452558299"/>
      <w:bookmarkStart w:id="24" w:name="_Toc26010"/>
      <w:bookmarkStart w:id="25" w:name="_Toc415840323"/>
      <w:r>
        <w:rPr>
          <w:rFonts w:hint="eastAsia" w:ascii="宋体" w:hAnsi="宋体" w:cs="宋体"/>
          <w:color w:val="auto"/>
          <w:sz w:val="24"/>
          <w:highlight w:val="none"/>
          <w:lang w:val="en-US" w:eastAsia="zh-CN"/>
        </w:rPr>
        <w:t>翁源县县域高中提升建设项目（翁源县新区中学建设项目）。</w:t>
      </w:r>
    </w:p>
    <w:p>
      <w:pPr>
        <w:pStyle w:val="3"/>
        <w:rPr>
          <w:rFonts w:hint="eastAsia" w:ascii="宋体" w:hAnsi="宋体" w:eastAsia="宋体" w:cs="宋体"/>
          <w:b/>
          <w:bCs w:val="0"/>
          <w:color w:val="auto"/>
          <w:sz w:val="28"/>
          <w:szCs w:val="28"/>
          <w:highlight w:val="none"/>
          <w:lang w:val="en-US" w:eastAsia="zh-CN"/>
        </w:rPr>
      </w:pPr>
      <w:bookmarkStart w:id="26" w:name="_Toc4656"/>
      <w:r>
        <w:rPr>
          <w:rFonts w:hint="eastAsia" w:ascii="宋体" w:hAnsi="宋体" w:eastAsia="宋体" w:cs="宋体"/>
          <w:b/>
          <w:bCs w:val="0"/>
          <w:color w:val="auto"/>
          <w:sz w:val="28"/>
          <w:szCs w:val="28"/>
          <w:highlight w:val="none"/>
          <w:lang w:val="en-US" w:eastAsia="zh-CN"/>
        </w:rPr>
        <w:t>1.2.项目位置</w:t>
      </w:r>
      <w:bookmarkEnd w:id="19"/>
      <w:bookmarkEnd w:id="20"/>
      <w:bookmarkEnd w:id="21"/>
      <w:bookmarkEnd w:id="22"/>
      <w:bookmarkEnd w:id="23"/>
      <w:bookmarkEnd w:id="24"/>
      <w:bookmarkEnd w:id="25"/>
      <w:bookmarkEnd w:id="26"/>
    </w:p>
    <w:p>
      <w:pPr>
        <w:spacing w:line="360" w:lineRule="auto"/>
        <w:ind w:firstLine="480" w:firstLineChars="200"/>
        <w:rPr>
          <w:rFonts w:hint="eastAsia" w:ascii="宋体" w:hAnsi="宋体" w:cs="宋体"/>
          <w:color w:val="auto"/>
          <w:sz w:val="24"/>
          <w:highlight w:val="none"/>
          <w:lang w:val="en-US" w:eastAsia="zh-CN"/>
        </w:rPr>
      </w:pPr>
      <w:bookmarkStart w:id="27" w:name="_Toc19866"/>
      <w:bookmarkStart w:id="28" w:name="_Toc452558300"/>
      <w:bookmarkStart w:id="29" w:name="_Toc452973680"/>
      <w:bookmarkStart w:id="30" w:name="_Toc415840324"/>
      <w:r>
        <w:rPr>
          <w:rFonts w:hint="eastAsia" w:ascii="宋体" w:hAnsi="宋体" w:cs="宋体"/>
          <w:color w:val="auto"/>
          <w:sz w:val="24"/>
          <w:highlight w:val="none"/>
          <w:lang w:val="en-US" w:eastAsia="zh-CN"/>
        </w:rPr>
        <w:t>本项目拟建用地位于韶关市翁源县龙翔大道旁 11-02 地块。</w:t>
      </w:r>
    </w:p>
    <w:p>
      <w:pPr>
        <w:pStyle w:val="3"/>
        <w:rPr>
          <w:rFonts w:hint="eastAsia" w:ascii="宋体" w:hAnsi="宋体" w:eastAsia="宋体" w:cs="宋体"/>
          <w:b/>
          <w:bCs w:val="0"/>
          <w:color w:val="auto"/>
          <w:sz w:val="28"/>
          <w:szCs w:val="28"/>
          <w:highlight w:val="none"/>
          <w:lang w:val="en-US" w:eastAsia="zh-CN"/>
        </w:rPr>
      </w:pPr>
      <w:bookmarkStart w:id="31" w:name="_Toc9717"/>
      <w:r>
        <w:rPr>
          <w:rFonts w:hint="eastAsia" w:ascii="宋体" w:hAnsi="宋体" w:eastAsia="宋体" w:cs="宋体"/>
          <w:b/>
          <w:bCs w:val="0"/>
          <w:color w:val="auto"/>
          <w:sz w:val="28"/>
          <w:szCs w:val="28"/>
          <w:highlight w:val="none"/>
          <w:lang w:val="en-US" w:eastAsia="zh-CN"/>
        </w:rPr>
        <w:t>1.3.项目业主单位</w:t>
      </w:r>
      <w:bookmarkEnd w:id="27"/>
      <w:bookmarkEnd w:id="28"/>
      <w:bookmarkEnd w:id="29"/>
      <w:bookmarkEnd w:id="30"/>
      <w:bookmarkEnd w:id="31"/>
    </w:p>
    <w:p>
      <w:pPr>
        <w:spacing w:line="360" w:lineRule="auto"/>
        <w:ind w:firstLine="480" w:firstLineChars="200"/>
        <w:rPr>
          <w:rFonts w:hint="eastAsia" w:ascii="宋体" w:hAnsi="宋体" w:cs="宋体"/>
          <w:color w:val="auto"/>
          <w:sz w:val="24"/>
          <w:highlight w:val="none"/>
          <w:lang w:val="en-US" w:eastAsia="zh-CN"/>
        </w:rPr>
      </w:pPr>
      <w:bookmarkStart w:id="32" w:name="_Toc452973681"/>
      <w:bookmarkStart w:id="33" w:name="_Toc12585"/>
      <w:bookmarkStart w:id="34" w:name="_Toc452558301"/>
      <w:bookmarkStart w:id="35" w:name="_Toc415840325"/>
      <w:r>
        <w:rPr>
          <w:rFonts w:hint="eastAsia" w:ascii="宋体" w:hAnsi="宋体" w:cs="宋体"/>
          <w:color w:val="auto"/>
          <w:sz w:val="24"/>
          <w:highlight w:val="none"/>
          <w:lang w:val="en-US" w:eastAsia="zh-CN"/>
        </w:rPr>
        <w:t>韶关市翁源县教育局。</w:t>
      </w:r>
      <w:bookmarkEnd w:id="32"/>
      <w:bookmarkEnd w:id="33"/>
      <w:bookmarkEnd w:id="34"/>
      <w:bookmarkEnd w:id="35"/>
      <w:bookmarkStart w:id="36" w:name="_Toc21512"/>
      <w:bookmarkStart w:id="37" w:name="_Toc452558302"/>
      <w:bookmarkStart w:id="38" w:name="_Toc415840326"/>
      <w:bookmarkStart w:id="39" w:name="_Toc452973682"/>
    </w:p>
    <w:p>
      <w:pPr>
        <w:pStyle w:val="3"/>
        <w:rPr>
          <w:rFonts w:hint="eastAsia" w:ascii="宋体" w:hAnsi="宋体" w:eastAsia="宋体" w:cs="宋体"/>
          <w:b/>
          <w:bCs w:val="0"/>
          <w:color w:val="auto"/>
          <w:sz w:val="28"/>
          <w:szCs w:val="28"/>
          <w:highlight w:val="none"/>
          <w:lang w:val="en-US" w:eastAsia="zh-CN"/>
        </w:rPr>
      </w:pPr>
      <w:bookmarkStart w:id="40" w:name="_Toc6740"/>
      <w:r>
        <w:rPr>
          <w:rFonts w:hint="eastAsia" w:ascii="宋体" w:hAnsi="宋体" w:eastAsia="宋体" w:cs="宋体"/>
          <w:b/>
          <w:bCs w:val="0"/>
          <w:color w:val="auto"/>
          <w:sz w:val="28"/>
          <w:szCs w:val="28"/>
          <w:highlight w:val="none"/>
          <w:lang w:val="en-US" w:eastAsia="zh-CN"/>
        </w:rPr>
        <w:t>1.4.项目背景</w:t>
      </w:r>
      <w:bookmarkEnd w:id="36"/>
      <w:bookmarkEnd w:id="40"/>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为全面贯彻党的二十大</w:t>
      </w:r>
      <w:bookmarkStart w:id="155" w:name="_GoBack"/>
      <w:bookmarkEnd w:id="155"/>
      <w:r>
        <w:rPr>
          <w:rFonts w:hint="eastAsia" w:ascii="宋体" w:hAnsi="宋体" w:cs="宋体"/>
          <w:color w:val="auto"/>
          <w:sz w:val="24"/>
          <w:highlight w:val="none"/>
          <w:lang w:val="en-US" w:eastAsia="zh-CN"/>
        </w:rPr>
        <w:t>精神，以习近平新时代中国特色社会主义思想为指导，深入贯彻习近平总书记重要讲话精神和全国教育大会精神，紧紧围绕“世界前列、全国一流、区域特色、示范引领”的现代化教育目标任务，扩大优质教育资源供给，推动教育高质量发展，提高教育发展平衡性和协调性，增强人民群众的获得感，办好人民满意的广东教育。为破解翁源县教育发展不平衡不充分的矛盾,扩大优质公办中小学学位供给,改善办学条件,夯实办学基础,全面提升教育质量,办好人民满意的教育。</w:t>
      </w:r>
    </w:p>
    <w:p>
      <w:pPr>
        <w:pStyle w:val="3"/>
        <w:rPr>
          <w:rFonts w:hint="eastAsia" w:ascii="宋体" w:hAnsi="宋体" w:eastAsia="宋体" w:cs="宋体"/>
          <w:b/>
          <w:bCs w:val="0"/>
          <w:color w:val="auto"/>
          <w:sz w:val="28"/>
          <w:szCs w:val="28"/>
          <w:highlight w:val="none"/>
          <w:lang w:val="en-US" w:eastAsia="zh-CN"/>
        </w:rPr>
      </w:pPr>
      <w:bookmarkStart w:id="41" w:name="_Toc4983"/>
      <w:bookmarkStart w:id="42" w:name="_Toc3422"/>
      <w:r>
        <w:rPr>
          <w:rFonts w:hint="eastAsia" w:ascii="宋体" w:hAnsi="宋体" w:eastAsia="宋体" w:cs="宋体"/>
          <w:b/>
          <w:bCs w:val="0"/>
          <w:color w:val="auto"/>
          <w:sz w:val="28"/>
          <w:szCs w:val="28"/>
          <w:highlight w:val="none"/>
          <w:lang w:val="en-US" w:eastAsia="zh-CN"/>
        </w:rPr>
        <w:t>1.5.项目建设</w:t>
      </w:r>
      <w:bookmarkEnd w:id="41"/>
      <w:r>
        <w:rPr>
          <w:rFonts w:hint="eastAsia" w:ascii="宋体" w:hAnsi="宋体" w:eastAsia="宋体" w:cs="宋体"/>
          <w:b/>
          <w:bCs w:val="0"/>
          <w:color w:val="auto"/>
          <w:sz w:val="28"/>
          <w:szCs w:val="28"/>
          <w:highlight w:val="none"/>
          <w:lang w:val="en-US" w:eastAsia="zh-CN"/>
        </w:rPr>
        <w:t>目标和任务</w:t>
      </w:r>
      <w:bookmarkEnd w:id="4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建设目标：</w:t>
      </w:r>
      <w:r>
        <w:rPr>
          <w:rFonts w:hint="eastAsia" w:ascii="宋体" w:hAnsi="宋体" w:cs="宋体"/>
          <w:color w:val="auto"/>
          <w:sz w:val="24"/>
          <w:highlight w:val="none"/>
        </w:rPr>
        <w:t>解决当地普通高中教育资源紧缺，增加优质教育资源供给，完善教学和活动配套设施，保证教育教学质量的稳步提升和学校管理水平的不断提高。</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本项目建成后，可满足名 </w:t>
      </w:r>
      <w:r>
        <w:rPr>
          <w:rFonts w:hint="default" w:ascii="宋体" w:hAnsi="宋体" w:cs="宋体"/>
          <w:color w:val="auto"/>
          <w:sz w:val="24"/>
          <w:highlight w:val="none"/>
          <w:lang w:val="en-US" w:eastAsia="zh-CN"/>
        </w:rPr>
        <w:t xml:space="preserve">3900 </w:t>
      </w:r>
      <w:r>
        <w:rPr>
          <w:rFonts w:hint="eastAsia" w:ascii="宋体" w:hAnsi="宋体" w:cs="宋体"/>
          <w:color w:val="auto"/>
          <w:sz w:val="24"/>
          <w:highlight w:val="none"/>
          <w:lang w:val="en-US" w:eastAsia="zh-CN"/>
        </w:rPr>
        <w:t xml:space="preserve">高中学生的学习生活需求。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建设任务：项目总建筑面积约 </w:t>
      </w:r>
      <w:r>
        <w:rPr>
          <w:rFonts w:hint="default" w:ascii="宋体" w:hAnsi="宋体" w:cs="宋体"/>
          <w:color w:val="auto"/>
          <w:sz w:val="24"/>
          <w:highlight w:val="none"/>
          <w:lang w:val="en-US" w:eastAsia="zh-CN"/>
        </w:rPr>
        <w:t xml:space="preserve">78309 </w:t>
      </w:r>
      <w:r>
        <w:rPr>
          <w:rFonts w:hint="eastAsia" w:ascii="宋体" w:hAnsi="宋体" w:cs="宋体"/>
          <w:color w:val="auto"/>
          <w:sz w:val="24"/>
          <w:highlight w:val="none"/>
          <w:lang w:val="en-US" w:eastAsia="zh-CN"/>
        </w:rPr>
        <w:t xml:space="preserve">㎡，其中地上建筑面积 </w:t>
      </w:r>
      <w:r>
        <w:rPr>
          <w:rFonts w:hint="default" w:ascii="宋体" w:hAnsi="宋体" w:cs="宋体"/>
          <w:color w:val="auto"/>
          <w:sz w:val="24"/>
          <w:highlight w:val="none"/>
          <w:lang w:val="en-US" w:eastAsia="zh-CN"/>
        </w:rPr>
        <w:t>74247</w:t>
      </w:r>
      <w:r>
        <w:rPr>
          <w:rFonts w:hint="eastAsia" w:ascii="宋体" w:hAnsi="宋体" w:cs="宋体"/>
          <w:color w:val="auto"/>
          <w:sz w:val="24"/>
          <w:highlight w:val="none"/>
          <w:lang w:val="en-US" w:eastAsia="zh-CN"/>
        </w:rPr>
        <w:t xml:space="preserve">㎡，地下室建筑面积 </w:t>
      </w:r>
      <w:r>
        <w:rPr>
          <w:rFonts w:hint="default" w:ascii="宋体" w:hAnsi="宋体" w:cs="宋体"/>
          <w:color w:val="auto"/>
          <w:sz w:val="24"/>
          <w:highlight w:val="none"/>
          <w:lang w:val="en-US" w:eastAsia="zh-CN"/>
        </w:rPr>
        <w:t xml:space="preserve">4062 </w:t>
      </w:r>
      <w:r>
        <w:rPr>
          <w:rFonts w:hint="eastAsia" w:ascii="宋体" w:hAnsi="宋体" w:cs="宋体"/>
          <w:color w:val="auto"/>
          <w:sz w:val="24"/>
          <w:highlight w:val="none"/>
          <w:lang w:val="en-US" w:eastAsia="zh-CN"/>
        </w:rPr>
        <w:t>㎡。</w:t>
      </w:r>
    </w:p>
    <w:p>
      <w:pPr>
        <w:rPr>
          <w:rFonts w:hint="eastAsia"/>
          <w:color w:val="auto"/>
          <w:highlight w:val="none"/>
        </w:rPr>
      </w:pPr>
    </w:p>
    <w:p>
      <w:pPr>
        <w:pStyle w:val="3"/>
        <w:rPr>
          <w:rFonts w:hint="eastAsia" w:ascii="宋体" w:hAnsi="宋体" w:eastAsia="宋体" w:cs="宋体"/>
          <w:b/>
          <w:bCs w:val="0"/>
          <w:color w:val="auto"/>
          <w:sz w:val="28"/>
          <w:szCs w:val="28"/>
          <w:highlight w:val="none"/>
          <w:lang w:val="en-US" w:eastAsia="zh-CN"/>
        </w:rPr>
      </w:pPr>
      <w:bookmarkStart w:id="43" w:name="_Toc26175"/>
      <w:bookmarkStart w:id="44" w:name="_Toc27386"/>
      <w:r>
        <w:rPr>
          <w:rFonts w:hint="eastAsia" w:ascii="宋体" w:hAnsi="宋体" w:eastAsia="宋体" w:cs="宋体"/>
          <w:b/>
          <w:bCs w:val="0"/>
          <w:color w:val="auto"/>
          <w:sz w:val="28"/>
          <w:szCs w:val="28"/>
          <w:highlight w:val="none"/>
          <w:lang w:val="en-US" w:eastAsia="zh-CN"/>
        </w:rPr>
        <w:t>1.6.项目建设</w:t>
      </w:r>
      <w:bookmarkEnd w:id="37"/>
      <w:bookmarkEnd w:id="38"/>
      <w:bookmarkEnd w:id="39"/>
      <w:r>
        <w:rPr>
          <w:rFonts w:hint="eastAsia" w:ascii="宋体" w:hAnsi="宋体" w:eastAsia="宋体" w:cs="宋体"/>
          <w:b/>
          <w:bCs w:val="0"/>
          <w:color w:val="auto"/>
          <w:sz w:val="28"/>
          <w:szCs w:val="28"/>
          <w:highlight w:val="none"/>
          <w:lang w:val="en-US" w:eastAsia="zh-CN"/>
        </w:rPr>
        <w:t>内容及规模</w:t>
      </w:r>
      <w:bookmarkEnd w:id="43"/>
      <w:bookmarkEnd w:id="44"/>
    </w:p>
    <w:p>
      <w:pPr>
        <w:spacing w:line="360" w:lineRule="auto"/>
        <w:ind w:firstLine="480" w:firstLineChars="200"/>
        <w:rPr>
          <w:rFonts w:hint="eastAsia" w:ascii="宋体" w:hAnsi="宋体" w:cs="宋体"/>
          <w:color w:val="auto"/>
          <w:sz w:val="24"/>
          <w:highlight w:val="none"/>
          <w:lang w:val="en-US" w:eastAsia="zh-CN"/>
        </w:rPr>
      </w:pPr>
      <w:bookmarkStart w:id="45" w:name="_Toc452558295"/>
      <w:bookmarkStart w:id="46" w:name="_Toc452973675"/>
      <w:bookmarkStart w:id="47" w:name="_Toc447612383"/>
      <w:bookmarkStart w:id="48" w:name="_Toc447612862"/>
      <w:r>
        <w:rPr>
          <w:rFonts w:hint="eastAsia" w:ascii="宋体" w:hAnsi="宋体" w:cs="宋体"/>
          <w:color w:val="auto"/>
          <w:sz w:val="24"/>
          <w:highlight w:val="none"/>
          <w:lang w:val="en-US" w:eastAsia="zh-CN"/>
        </w:rPr>
        <w:t>根据项目规划用地面积约 300 亩，总建筑面积约 78309 ㎡，其中地上建筑面积 74247 ㎡，地下室建筑面积 4062 ㎡，配套道路约 1km。建设内容包括教学楼、图书艺术楼、实验楼、行政楼、学生宿舍、教师周转宿舍、食堂、体育馆、室外工程及配套道路等。项目建成后，可提供 78 个普通高中班，增加普通高中学位 3900 个。</w:t>
      </w:r>
    </w:p>
    <w:p>
      <w:pPr>
        <w:autoSpaceDE w:val="0"/>
        <w:autoSpaceDN w:val="0"/>
        <w:adjustRightInd w:val="0"/>
        <w:spacing w:line="540" w:lineRule="exact"/>
        <w:ind w:firstLine="480" w:firstLineChars="200"/>
        <w:jc w:val="left"/>
        <w:rPr>
          <w:rFonts w:hint="eastAsia" w:cs="宋体"/>
          <w:color w:val="auto"/>
          <w:sz w:val="24"/>
          <w:szCs w:val="24"/>
          <w:highlight w:val="none"/>
          <w:lang w:val="en-US" w:eastAsia="zh-CN"/>
        </w:rPr>
      </w:pPr>
    </w:p>
    <w:tbl>
      <w:tblPr>
        <w:tblStyle w:val="21"/>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1372"/>
        <w:gridCol w:w="735"/>
        <w:gridCol w:w="1236"/>
        <w:gridCol w:w="858"/>
        <w:gridCol w:w="734"/>
        <w:gridCol w:w="803"/>
        <w:gridCol w:w="735"/>
        <w:gridCol w:w="1236"/>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9" w:hRule="atLeast"/>
        </w:trPr>
        <w:tc>
          <w:tcPr>
            <w:tcW w:w="896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本项目建设内容及规模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建筑名称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栋数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建筑面积</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其中</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建筑高度（m)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层数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层高（m)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图书艺术楼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行政楼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架空层2275㎡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架空层456㎡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后勤及附属用房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风雨连廊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配套道路</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配套道路翁山大道 600m，宽40 米; 兰韵大道 400m，宽 30m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室外工程</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含室外运动场地、升旗台、校门、校内广场、道路、校园公共绿地等</w:t>
            </w:r>
          </w:p>
        </w:tc>
      </w:tr>
    </w:tbl>
    <w:p>
      <w:pPr>
        <w:autoSpaceDE w:val="0"/>
        <w:autoSpaceDN w:val="0"/>
        <w:adjustRightInd w:val="0"/>
        <w:spacing w:line="540" w:lineRule="exact"/>
        <w:ind w:firstLine="420" w:firstLineChars="200"/>
        <w:jc w:val="left"/>
        <w:rPr>
          <w:rFonts w:hint="eastAsia" w:cs="宋体"/>
          <w:color w:val="auto"/>
          <w:highlight w:val="none"/>
        </w:rPr>
      </w:pPr>
    </w:p>
    <w:p>
      <w:pPr>
        <w:pStyle w:val="12"/>
        <w:spacing w:line="360" w:lineRule="auto"/>
        <w:ind w:firstLine="480" w:firstLineChars="200"/>
        <w:rPr>
          <w:rFonts w:hint="eastAsia" w:hAnsi="宋体" w:cs="宋体"/>
          <w:color w:val="auto"/>
          <w:sz w:val="24"/>
          <w:szCs w:val="24"/>
          <w:highlight w:val="none"/>
        </w:rPr>
      </w:pPr>
    </w:p>
    <w:tbl>
      <w:tblPr>
        <w:tblStyle w:val="21"/>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2890"/>
        <w:gridCol w:w="849"/>
        <w:gridCol w:w="1163"/>
        <w:gridCol w:w="3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主要经济技术指标表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规划用地面积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地上建筑面积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74247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其中架空层 2731 ㎡，风雨连廊 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计算容积率建筑面积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基底面积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容积率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室外运动场地合计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工程建设其他费用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含土地费15000万元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设置班级数量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增加学位数量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普通高中学位</w:t>
            </w:r>
          </w:p>
        </w:tc>
      </w:tr>
    </w:tbl>
    <w:p>
      <w:pPr>
        <w:pStyle w:val="3"/>
        <w:rPr>
          <w:rFonts w:hint="eastAsia" w:ascii="宋体" w:hAnsi="宋体" w:eastAsia="宋体" w:cs="宋体"/>
          <w:b/>
          <w:bCs w:val="0"/>
          <w:color w:val="auto"/>
          <w:sz w:val="28"/>
          <w:szCs w:val="28"/>
          <w:highlight w:val="none"/>
          <w:lang w:val="en-US" w:eastAsia="zh-CN"/>
        </w:rPr>
      </w:pPr>
      <w:bookmarkStart w:id="49" w:name="_Toc7760"/>
      <w:r>
        <w:rPr>
          <w:rFonts w:hint="eastAsia" w:ascii="宋体" w:hAnsi="宋体" w:eastAsia="宋体" w:cs="宋体"/>
          <w:b/>
          <w:bCs w:val="0"/>
          <w:color w:val="auto"/>
          <w:sz w:val="28"/>
          <w:szCs w:val="28"/>
          <w:highlight w:val="none"/>
          <w:lang w:val="en-US" w:eastAsia="zh-CN"/>
        </w:rPr>
        <w:t>1.7.设计依据</w:t>
      </w:r>
      <w:bookmarkEnd w:id="4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（1）建设单位提交的基础资料等；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（2）包括但不限于现行的有关建筑工程、规划、环保、地下人防、消防、供电、市政设施等方面的法律法规、规范标准:</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《工程建设标准强制性条文——房屋建筑部分》（2013 版）</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《广东省义务教育标准化学校建设标准》</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《中小学校建筑设计规范》（GB50099-2011）</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《中小学校体育设施技术规程》（JGJ/T280-2012）</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《公共建筑节能设计标准》（GB50189-2015）</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《民用建筑设计统一标准》（GB50352-2019）；</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《建筑设计防火规范》（GB50016-2014（2018 版））；</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《混凝土结构加固设计规范》（GB50367-2013）</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《建筑内部装修设计防火规范》（GB50222-2017）；</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《建筑照明设计标准》（GB50034-2013）</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《教育建筑电气设计规范》（JGJ310-2013）</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《建筑结构荷载规范》（GB50009-2012）</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《城市普通中小学校校舍建设标准》（建标〔2002〕102 号）； </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《宿舍建筑设计规范》（JGJ36-2016）</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《汽车库建筑设计规范》（JGJ100-2015）</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《汽车库、修车库、停车场设计防火规范》（GB50067-2014）</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《建筑抗震设计规范》（GB50011-2010（2016 版））</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《无障碍设计规范》（GB50763-2012）； </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《广东省绿色建筑评价标准》（DBJ/T15-83-2017）</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《普通中小学校建设标准（2015年）》（征求意见稿）；</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《中小学校设计规范（GB50099-2011）》；</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教育部关于印发《中小学实验室规程》的通知</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《建筑地面设计规范》（GB50037-2013）；</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广东省标准《电动汽车充电基础设施建设技术规程》（DBJT 15-150-2018）</w:t>
      </w:r>
    </w:p>
    <w:p>
      <w:pPr>
        <w:pStyle w:val="40"/>
        <w:numPr>
          <w:ilvl w:val="0"/>
          <w:numId w:val="1"/>
        </w:numP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《绿色建筑评价标准》（GB/T50378－2019）</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上述规范、标准如有更新，请按照最新的版本进行设计。按照国家、行业以及现行的标准、规程、规范、技术条例进行设计，运用标准设计成果，严格掌握设计标准，控制工程造价。</w:t>
      </w:r>
    </w:p>
    <w:p>
      <w:pPr>
        <w:pStyle w:val="7"/>
        <w:spacing w:line="360" w:lineRule="auto"/>
        <w:rPr>
          <w:color w:val="auto"/>
          <w:sz w:val="24"/>
          <w:szCs w:val="18"/>
          <w:highlight w:val="none"/>
        </w:rPr>
      </w:pPr>
      <w:r>
        <w:rPr>
          <w:rFonts w:hint="eastAsia"/>
          <w:color w:val="auto"/>
          <w:sz w:val="24"/>
          <w:szCs w:val="18"/>
          <w:highlight w:val="none"/>
        </w:rPr>
        <w:t>严格执行国家现行的强制性条文，且应为其最新版本。</w:t>
      </w:r>
    </w:p>
    <w:bookmarkEnd w:id="45"/>
    <w:bookmarkEnd w:id="46"/>
    <w:p>
      <w:pPr>
        <w:pStyle w:val="3"/>
        <w:rPr>
          <w:rFonts w:hint="eastAsia" w:ascii="宋体" w:hAnsi="宋体" w:eastAsia="宋体" w:cs="宋体"/>
          <w:b/>
          <w:bCs w:val="0"/>
          <w:color w:val="auto"/>
          <w:sz w:val="28"/>
          <w:szCs w:val="28"/>
          <w:highlight w:val="none"/>
        </w:rPr>
      </w:pPr>
      <w:bookmarkStart w:id="50" w:name="_Toc1632"/>
      <w:bookmarkStart w:id="51" w:name="_Toc22506"/>
      <w:bookmarkStart w:id="52" w:name="_Toc30436"/>
      <w:bookmarkStart w:id="53" w:name="_Toc25583"/>
      <w:bookmarkStart w:id="54" w:name="_Toc1975"/>
      <w:bookmarkStart w:id="55" w:name="_Toc12034"/>
      <w:bookmarkStart w:id="56" w:name="_Toc19901"/>
      <w:bookmarkStart w:id="57" w:name="_Toc452973683"/>
      <w:bookmarkStart w:id="58" w:name="_Toc452558303"/>
      <w:bookmarkStart w:id="59" w:name="_Toc452558094"/>
      <w:r>
        <w:rPr>
          <w:rFonts w:hint="eastAsia" w:ascii="宋体" w:hAnsi="宋体" w:eastAsia="宋体" w:cs="宋体"/>
          <w:b/>
          <w:bCs w:val="0"/>
          <w:color w:val="auto"/>
          <w:sz w:val="28"/>
          <w:szCs w:val="28"/>
          <w:highlight w:val="none"/>
          <w:lang w:val="en-US" w:eastAsia="zh-CN"/>
        </w:rPr>
        <w:t>1.8.</w:t>
      </w:r>
      <w:r>
        <w:rPr>
          <w:rFonts w:hint="eastAsia" w:ascii="宋体" w:hAnsi="宋体" w:eastAsia="宋体" w:cs="宋体"/>
          <w:b/>
          <w:bCs w:val="0"/>
          <w:color w:val="auto"/>
          <w:sz w:val="28"/>
          <w:szCs w:val="28"/>
          <w:highlight w:val="none"/>
        </w:rPr>
        <w:t>项目设计范围</w:t>
      </w:r>
      <w:bookmarkEnd w:id="50"/>
      <w:bookmarkEnd w:id="51"/>
      <w:bookmarkEnd w:id="52"/>
      <w:bookmarkEnd w:id="53"/>
      <w:bookmarkEnd w:id="54"/>
      <w:bookmarkEnd w:id="55"/>
      <w:bookmarkEnd w:id="56"/>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用地红线内（含代征用地）及红线外（管线）所涉及建设内容的全部设计工作。完成翁源县县域高中提升建设项目（翁源县新区中学建设项目），含方案图阶段、初步设计阶段、概算书、绿建、及施工图阶段。方案阶段需经招标人确定；初步设计需组织专家评审；通过施工图审查、概算评审。设计方案应体现以人为本、品质提升及使用安全的原则，要求合理、科学地考虑平面布局与动线，充分考虑师生使用方便，适用、实用的设计原则</w:t>
      </w:r>
      <w:bookmarkEnd w:id="47"/>
      <w:bookmarkEnd w:id="48"/>
      <w:bookmarkEnd w:id="57"/>
      <w:bookmarkEnd w:id="58"/>
      <w:bookmarkEnd w:id="59"/>
      <w:bookmarkStart w:id="60" w:name="_Toc452973699"/>
      <w:bookmarkStart w:id="61" w:name="_Toc452558096"/>
      <w:bookmarkStart w:id="62" w:name="_Toc452558312"/>
      <w:bookmarkStart w:id="63" w:name="_Toc8500"/>
      <w:bookmarkStart w:id="64" w:name="_Toc12872"/>
      <w:bookmarkStart w:id="65" w:name="_Toc17189"/>
      <w:bookmarkStart w:id="66" w:name="_Toc26572"/>
      <w:bookmarkStart w:id="67" w:name="_Toc1794"/>
      <w:bookmarkStart w:id="68" w:name="_Toc280"/>
      <w:bookmarkStart w:id="69" w:name="_Toc20925"/>
      <w:r>
        <w:rPr>
          <w:rFonts w:hint="eastAsia" w:ascii="宋体" w:hAnsi="宋体" w:cs="宋体"/>
          <w:color w:val="auto"/>
          <w:sz w:val="24"/>
          <w:highlight w:val="none"/>
          <w:lang w:eastAsia="zh-CN"/>
        </w:rPr>
        <w:t>。</w:t>
      </w:r>
    </w:p>
    <w:p>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 xml:space="preserve"> 设计原则</w:t>
      </w:r>
      <w:bookmarkEnd w:id="60"/>
      <w:bookmarkEnd w:id="61"/>
      <w:bookmarkEnd w:id="62"/>
      <w:r>
        <w:rPr>
          <w:rFonts w:hint="eastAsia" w:ascii="宋体" w:hAnsi="宋体" w:eastAsia="宋体" w:cs="宋体"/>
          <w:b/>
          <w:bCs/>
          <w:color w:val="auto"/>
          <w:sz w:val="32"/>
          <w:szCs w:val="32"/>
          <w:highlight w:val="none"/>
        </w:rPr>
        <w:t>及设计内容</w:t>
      </w:r>
      <w:bookmarkEnd w:id="63"/>
      <w:bookmarkEnd w:id="64"/>
      <w:bookmarkEnd w:id="65"/>
      <w:bookmarkEnd w:id="66"/>
      <w:bookmarkEnd w:id="67"/>
      <w:bookmarkEnd w:id="68"/>
      <w:bookmarkEnd w:id="6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计单位应当按照《广东省建设工程勘察设计管理条例》和相关标准开展勘察设计工作，应当建立和健全设计质量保证体系，建立完善的设计文件的内部审查制度，加强设计全过程的质量控制，明确各阶段的责任人。</w:t>
      </w:r>
    </w:p>
    <w:p>
      <w:pPr>
        <w:pStyle w:val="3"/>
        <w:rPr>
          <w:rFonts w:hint="eastAsia" w:ascii="宋体" w:hAnsi="宋体" w:eastAsia="宋体" w:cs="宋体"/>
          <w:b/>
          <w:bCs w:val="0"/>
          <w:color w:val="auto"/>
          <w:highlight w:val="none"/>
          <w:lang w:val="en-US" w:eastAsia="zh-CN"/>
        </w:rPr>
      </w:pPr>
      <w:bookmarkStart w:id="70" w:name="_Toc18789"/>
      <w:bookmarkStart w:id="71" w:name="_Toc452973701"/>
      <w:bookmarkStart w:id="72" w:name="_Toc9975"/>
      <w:bookmarkStart w:id="73" w:name="_Toc17096"/>
      <w:bookmarkStart w:id="74" w:name="_Toc16158"/>
      <w:bookmarkStart w:id="75" w:name="_Toc17270"/>
      <w:bookmarkStart w:id="76" w:name="_Toc452558314"/>
      <w:bookmarkStart w:id="77" w:name="_Toc24967"/>
      <w:bookmarkStart w:id="78" w:name="_Toc452558098"/>
      <w:bookmarkStart w:id="79" w:name="_Toc8265"/>
      <w:r>
        <w:rPr>
          <w:rFonts w:hint="eastAsia" w:ascii="宋体" w:hAnsi="宋体" w:eastAsia="宋体" w:cs="宋体"/>
          <w:b/>
          <w:bCs w:val="0"/>
          <w:color w:val="auto"/>
          <w:highlight w:val="none"/>
          <w:lang w:val="en-US" w:eastAsia="zh-CN"/>
        </w:rPr>
        <w:t>2.1设计原则</w:t>
      </w:r>
      <w:bookmarkEnd w:id="70"/>
      <w:bookmarkEnd w:id="71"/>
      <w:bookmarkEnd w:id="72"/>
      <w:bookmarkEnd w:id="73"/>
      <w:bookmarkEnd w:id="74"/>
      <w:bookmarkEnd w:id="75"/>
      <w:bookmarkEnd w:id="76"/>
      <w:bookmarkEnd w:id="77"/>
      <w:bookmarkEnd w:id="78"/>
      <w:bookmarkEnd w:id="79"/>
      <w:bookmarkStart w:id="80" w:name="_Toc329351504"/>
      <w:bookmarkStart w:id="81" w:name="_Toc330375408"/>
      <w:bookmarkStart w:id="82" w:name="_Toc399430872"/>
    </w:p>
    <w:bookmarkEnd w:id="80"/>
    <w:bookmarkEnd w:id="81"/>
    <w:bookmarkEnd w:id="82"/>
    <w:p>
      <w:pPr>
        <w:pStyle w:val="4"/>
        <w:spacing w:line="240" w:lineRule="auto"/>
        <w:rPr>
          <w:rFonts w:hint="eastAsia" w:ascii="宋体" w:hAnsi="宋体" w:eastAsia="宋体" w:cs="宋体"/>
          <w:b/>
          <w:bCs w:val="0"/>
          <w:color w:val="auto"/>
          <w:highlight w:val="none"/>
        </w:rPr>
      </w:pPr>
      <w:bookmarkStart w:id="83" w:name="_Toc13357"/>
      <w:bookmarkStart w:id="84" w:name="_Toc452973702"/>
      <w:bookmarkStart w:id="85" w:name="_Toc452558315"/>
      <w:r>
        <w:rPr>
          <w:rFonts w:hint="eastAsia" w:ascii="宋体" w:hAnsi="宋体" w:eastAsia="宋体" w:cs="宋体"/>
          <w:b/>
          <w:bCs w:val="0"/>
          <w:color w:val="auto"/>
          <w:highlight w:val="none"/>
        </w:rPr>
        <w:t>2.1.1限额设计原则</w:t>
      </w:r>
      <w:bookmarkEnd w:id="83"/>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设计单位应按照政府固定资产投资，坚持估算控制概算、概算控制预算、预算控制决算的原则，执行</w:t>
      </w:r>
      <w:r>
        <w:rPr>
          <w:rFonts w:hint="eastAsia" w:ascii="宋体" w:hAnsi="宋体" w:cs="宋体"/>
          <w:color w:val="auto"/>
          <w:sz w:val="24"/>
          <w:highlight w:val="none"/>
          <w:lang w:eastAsia="zh-CN"/>
        </w:rPr>
        <w:t>相关标准</w:t>
      </w:r>
      <w:r>
        <w:rPr>
          <w:rFonts w:hint="eastAsia" w:ascii="宋体" w:hAnsi="宋体" w:cs="宋体"/>
          <w:color w:val="auto"/>
          <w:sz w:val="24"/>
          <w:highlight w:val="none"/>
        </w:rPr>
        <w:t>做好限额设计。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应做到初步设计成果的编制提交要与初步设计概算的编制提交同步进行，施工图设计成果的编制提交要与施工图预算的编制提交同步进行，做到项目立项和可行性研究报告批复的建设事项与勘察设计成果及项目概（预）算编制事项应相互统一。</w:t>
      </w:r>
    </w:p>
    <w:p>
      <w:pPr>
        <w:pStyle w:val="4"/>
        <w:ind w:firstLine="480" w:firstLineChars="200"/>
        <w:rPr>
          <w:rFonts w:hint="eastAsia" w:ascii="宋体" w:hAnsi="宋体" w:eastAsia="宋体" w:cs="宋体"/>
          <w:color w:val="auto"/>
          <w:sz w:val="24"/>
          <w:szCs w:val="24"/>
          <w:highlight w:val="none"/>
        </w:rPr>
      </w:pPr>
      <w:bookmarkStart w:id="86" w:name="_Toc14201"/>
      <w:r>
        <w:rPr>
          <w:rFonts w:hint="eastAsia" w:ascii="宋体" w:hAnsi="宋体" w:eastAsia="宋体" w:cs="宋体"/>
          <w:color w:val="auto"/>
          <w:sz w:val="24"/>
          <w:szCs w:val="24"/>
          <w:highlight w:val="none"/>
        </w:rPr>
        <w:t>初步设计概算不超过立项批复相应投资估算，</w:t>
      </w:r>
      <w:r>
        <w:rPr>
          <w:rFonts w:hint="eastAsia" w:ascii="宋体" w:hAnsi="宋体" w:eastAsia="宋体" w:cs="宋体"/>
          <w:color w:val="auto"/>
          <w:sz w:val="24"/>
          <w:szCs w:val="24"/>
          <w:highlight w:val="none"/>
          <w:lang w:eastAsia="zh-CN"/>
        </w:rPr>
        <w:t>施工图设计预算</w:t>
      </w:r>
      <w:r>
        <w:rPr>
          <w:rFonts w:hint="eastAsia" w:ascii="宋体" w:hAnsi="宋体" w:eastAsia="宋体" w:cs="宋体"/>
          <w:color w:val="auto"/>
          <w:sz w:val="24"/>
          <w:szCs w:val="24"/>
          <w:highlight w:val="none"/>
        </w:rPr>
        <w:t>不得超过经批准的初步设计概算中相应的建安工程费。</w:t>
      </w:r>
    </w:p>
    <w:p>
      <w:pPr>
        <w:pStyle w:val="4"/>
        <w:spacing w:line="240" w:lineRule="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2.1.2满足规范标准原则</w:t>
      </w:r>
      <w:bookmarkEnd w:id="84"/>
      <w:bookmarkEnd w:id="85"/>
      <w:bookmarkEnd w:id="86"/>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应参考相关规范的要求，并满足现行国家相关设计的规范标准的要求及设计行业相关技术规范条文的要求，严格执行国家工程建设标准强制性条文。</w:t>
      </w:r>
    </w:p>
    <w:p>
      <w:pPr>
        <w:pStyle w:val="4"/>
        <w:spacing w:line="240" w:lineRule="auto"/>
        <w:rPr>
          <w:rFonts w:hint="eastAsia" w:ascii="宋体" w:hAnsi="宋体" w:eastAsia="宋体" w:cs="宋体"/>
          <w:b/>
          <w:bCs w:val="0"/>
          <w:color w:val="auto"/>
          <w:highlight w:val="none"/>
        </w:rPr>
      </w:pPr>
      <w:bookmarkStart w:id="87" w:name="_Toc5698"/>
      <w:bookmarkStart w:id="88" w:name="_Toc452558316"/>
      <w:bookmarkStart w:id="89" w:name="_Toc452973703"/>
      <w:r>
        <w:rPr>
          <w:rFonts w:hint="eastAsia" w:ascii="宋体" w:hAnsi="宋体" w:eastAsia="宋体" w:cs="宋体"/>
          <w:b/>
          <w:bCs w:val="0"/>
          <w:color w:val="auto"/>
          <w:highlight w:val="none"/>
        </w:rPr>
        <w:t>2.1.3绿色生态原则</w:t>
      </w:r>
      <w:bookmarkEnd w:id="8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韶关</w:t>
      </w:r>
      <w:r>
        <w:rPr>
          <w:rFonts w:hint="eastAsia" w:ascii="宋体" w:hAnsi="宋体" w:cs="宋体"/>
          <w:color w:val="auto"/>
          <w:sz w:val="24"/>
          <w:highlight w:val="none"/>
        </w:rPr>
        <w:t>市属亚热带季风气候。规划与建筑设计应充分考虑</w:t>
      </w:r>
      <w:r>
        <w:rPr>
          <w:rFonts w:hint="eastAsia" w:ascii="宋体" w:hAnsi="宋体" w:cs="宋体"/>
          <w:color w:val="auto"/>
          <w:sz w:val="24"/>
          <w:highlight w:val="none"/>
          <w:lang w:eastAsia="zh-CN"/>
        </w:rPr>
        <w:t>韶关</w:t>
      </w:r>
      <w:r>
        <w:rPr>
          <w:rFonts w:hint="eastAsia" w:ascii="宋体" w:hAnsi="宋体" w:cs="宋体"/>
          <w:color w:val="auto"/>
          <w:sz w:val="24"/>
          <w:highlight w:val="none"/>
        </w:rPr>
        <w:t>市的气候特征，充分利用自然通风，合理控制直接照射室内的阳光，体现生态思想和节能观念。同时设计要体现可持续发展的理念。</w:t>
      </w:r>
    </w:p>
    <w:p>
      <w:pPr>
        <w:pStyle w:val="4"/>
        <w:spacing w:line="240" w:lineRule="auto"/>
        <w:rPr>
          <w:rFonts w:hint="eastAsia" w:ascii="宋体" w:hAnsi="宋体" w:eastAsia="宋体" w:cs="宋体"/>
          <w:b/>
          <w:bCs w:val="0"/>
          <w:color w:val="auto"/>
          <w:highlight w:val="none"/>
          <w:lang w:eastAsia="zh-CN"/>
        </w:rPr>
      </w:pPr>
      <w:bookmarkStart w:id="90" w:name="_Toc17295"/>
      <w:r>
        <w:rPr>
          <w:rFonts w:hint="eastAsia" w:ascii="宋体" w:hAnsi="宋体" w:eastAsia="宋体" w:cs="宋体"/>
          <w:b/>
          <w:bCs w:val="0"/>
          <w:color w:val="auto"/>
          <w:highlight w:val="none"/>
        </w:rPr>
        <w:t>2.1.4经济合理</w:t>
      </w:r>
      <w:bookmarkEnd w:id="90"/>
      <w:r>
        <w:rPr>
          <w:rFonts w:hint="eastAsia" w:ascii="宋体" w:hAnsi="宋体" w:eastAsia="宋体" w:cs="宋体"/>
          <w:b/>
          <w:bCs w:val="0"/>
          <w:color w:val="auto"/>
          <w:highlight w:val="none"/>
          <w:lang w:eastAsia="zh-CN"/>
        </w:rPr>
        <w:t>，符合教育现代化、</w:t>
      </w:r>
      <w:r>
        <w:rPr>
          <w:rFonts w:hint="eastAsia" w:ascii="宋体" w:hAnsi="宋体" w:eastAsia="宋体" w:cs="宋体"/>
          <w:b/>
          <w:bCs w:val="0"/>
          <w:color w:val="auto"/>
          <w:highlight w:val="none"/>
        </w:rPr>
        <w:t>绿色美观原则</w:t>
      </w:r>
    </w:p>
    <w:p>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sz w:val="24"/>
          <w:highlight w:val="none"/>
        </w:rPr>
        <w:t>在保证方案的可实施和可操作性前提下，设计中需要定量分析的设计内容，应通过计算，以力求各阶段设计成果能充分体现设计优化的原则</w:t>
      </w:r>
      <w:r>
        <w:rPr>
          <w:rFonts w:hint="eastAsia" w:ascii="宋体" w:hAnsi="宋体" w:cs="宋体"/>
          <w:color w:val="auto"/>
          <w:sz w:val="24"/>
          <w:highlight w:val="none"/>
          <w:lang w:eastAsia="zh-CN"/>
        </w:rPr>
        <w:t>，建筑风格、布局等应充分考虑符合教育现代化、绿色美观原则</w:t>
      </w:r>
      <w:r>
        <w:rPr>
          <w:rFonts w:hint="eastAsia" w:ascii="宋体" w:hAnsi="宋体" w:cs="宋体"/>
          <w:color w:val="auto"/>
          <w:sz w:val="24"/>
          <w:highlight w:val="none"/>
        </w:rPr>
        <w:t>。</w:t>
      </w:r>
    </w:p>
    <w:bookmarkEnd w:id="88"/>
    <w:bookmarkEnd w:id="89"/>
    <w:p>
      <w:pPr>
        <w:pStyle w:val="3"/>
        <w:rPr>
          <w:rFonts w:hint="eastAsia" w:ascii="宋体" w:hAnsi="宋体" w:eastAsia="宋体" w:cs="宋体"/>
          <w:b/>
          <w:bCs w:val="0"/>
          <w:color w:val="auto"/>
          <w:highlight w:val="none"/>
          <w:lang w:val="en-US" w:eastAsia="zh-CN"/>
        </w:rPr>
      </w:pPr>
      <w:bookmarkStart w:id="91" w:name="_Toc447612864"/>
      <w:bookmarkStart w:id="92" w:name="_Toc2663"/>
      <w:bookmarkStart w:id="93" w:name="_Toc447612385"/>
      <w:bookmarkStart w:id="94" w:name="_Toc12239"/>
      <w:bookmarkStart w:id="95" w:name="_Toc5021"/>
      <w:bookmarkStart w:id="96" w:name="_Toc26185"/>
      <w:bookmarkStart w:id="97" w:name="_Toc452558305"/>
      <w:bookmarkStart w:id="98" w:name="_Toc7667"/>
      <w:bookmarkStart w:id="99" w:name="_Toc25015"/>
      <w:bookmarkStart w:id="100" w:name="_Toc24631"/>
      <w:bookmarkStart w:id="101" w:name="_Toc452973685"/>
      <w:r>
        <w:rPr>
          <w:rFonts w:hint="eastAsia" w:ascii="宋体" w:hAnsi="宋体" w:eastAsia="宋体" w:cs="宋体"/>
          <w:b/>
          <w:bCs w:val="0"/>
          <w:color w:val="auto"/>
          <w:highlight w:val="none"/>
          <w:lang w:val="en-US" w:eastAsia="zh-CN"/>
        </w:rPr>
        <w:t>2.2设计内容</w:t>
      </w:r>
      <w:bookmarkEnd w:id="91"/>
      <w:bookmarkEnd w:id="92"/>
      <w:bookmarkEnd w:id="93"/>
      <w:bookmarkEnd w:id="94"/>
      <w:bookmarkEnd w:id="95"/>
      <w:bookmarkEnd w:id="96"/>
      <w:bookmarkEnd w:id="97"/>
      <w:bookmarkEnd w:id="98"/>
      <w:bookmarkEnd w:id="99"/>
      <w:bookmarkEnd w:id="100"/>
      <w:bookmarkEnd w:id="101"/>
    </w:p>
    <w:p>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lang w:eastAsia="zh-CN"/>
        </w:rPr>
        <w:t>设计内容</w:t>
      </w:r>
      <w:r>
        <w:rPr>
          <w:rFonts w:hint="eastAsia" w:ascii="宋体" w:hAnsi="宋体" w:cs="宋体"/>
          <w:snapToGrid w:val="0"/>
          <w:color w:val="auto"/>
          <w:kern w:val="0"/>
          <w:sz w:val="24"/>
          <w:highlight w:val="none"/>
        </w:rPr>
        <w:t>包括但不限于以下内容：</w:t>
      </w:r>
    </w:p>
    <w:p>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（1）方案</w:t>
      </w:r>
      <w:r>
        <w:rPr>
          <w:rFonts w:hint="eastAsia" w:ascii="宋体" w:hAnsi="宋体" w:cs="宋体"/>
          <w:snapToGrid w:val="0"/>
          <w:color w:val="auto"/>
          <w:kern w:val="0"/>
          <w:sz w:val="24"/>
          <w:highlight w:val="none"/>
          <w:lang w:val="en-US" w:eastAsia="zh-CN"/>
        </w:rPr>
        <w:t>设计及估算</w:t>
      </w:r>
      <w:r>
        <w:rPr>
          <w:rFonts w:hint="eastAsia" w:ascii="宋体" w:hAnsi="宋体" w:cs="宋体"/>
          <w:snapToGrid w:val="0"/>
          <w:color w:val="auto"/>
          <w:kern w:val="0"/>
          <w:sz w:val="24"/>
          <w:highlight w:val="none"/>
        </w:rPr>
        <w:t>：根据《建筑工程设计文件编制深度规定》（2008年版），同时根据专家评审意见及使用业主和相关职能部门提出的修改意见，对发包人选定的设计方案进行修改和完善。</w:t>
      </w:r>
    </w:p>
    <w:p>
      <w:pPr>
        <w:adjustRightInd w:val="0"/>
        <w:snapToGrid w:val="0"/>
        <w:spacing w:line="360" w:lineRule="auto"/>
        <w:ind w:firstLine="480" w:firstLineChars="200"/>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en-US" w:eastAsia="zh-CN"/>
        </w:rPr>
        <w:t>初步设计及概算：</w:t>
      </w:r>
      <w:r>
        <w:rPr>
          <w:rFonts w:hint="eastAsia" w:ascii="宋体" w:hAnsi="宋体" w:cs="宋体"/>
          <w:snapToGrid w:val="0"/>
          <w:color w:val="auto"/>
          <w:kern w:val="0"/>
          <w:sz w:val="24"/>
          <w:highlight w:val="none"/>
        </w:rPr>
        <w:t>根据</w:t>
      </w:r>
      <w:r>
        <w:rPr>
          <w:rFonts w:hint="eastAsia" w:ascii="宋体" w:hAnsi="宋体" w:cs="宋体"/>
          <w:snapToGrid w:val="0"/>
          <w:color w:val="auto"/>
          <w:kern w:val="0"/>
          <w:sz w:val="24"/>
          <w:highlight w:val="none"/>
          <w:lang w:val="en-US" w:eastAsia="zh-CN"/>
        </w:rPr>
        <w:t>方案阶段确认的设计方案进行初步设计及概算的编制，并提交专家评审，配合评审意见进行修改完善至取得初步设计通过的批复。</w:t>
      </w:r>
    </w:p>
    <w:p>
      <w:pPr>
        <w:adjustRightInd w:val="0"/>
        <w:snapToGrid w:val="0"/>
        <w:spacing w:line="360" w:lineRule="auto"/>
        <w:ind w:firstLine="480" w:firstLineChars="200"/>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（3）</w:t>
      </w:r>
      <w:r>
        <w:rPr>
          <w:rFonts w:hint="eastAsia" w:ascii="宋体" w:hAnsi="宋体" w:cs="宋体"/>
          <w:snapToGrid w:val="0"/>
          <w:color w:val="auto"/>
          <w:kern w:val="0"/>
          <w:sz w:val="24"/>
          <w:highlight w:val="none"/>
          <w:lang w:val="en-US" w:eastAsia="zh-CN"/>
        </w:rPr>
        <w:t>施工图设计：包含建筑设计（含绿色建筑及节能设计）、结构设计、电气设计、弱电智能化设计、给排水设计、消防工程设计、防雷工程设计、空调通风设计、园林景观设计、人防工程设计等项目相关的施工图设计内容，并配合完成施工图审查通过。</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设计全过程的各阶段各专业的具体设计内容和界面划分以及报批报审配合等服务工作按设计合同</w:t>
      </w:r>
      <w:bookmarkStart w:id="102" w:name="_Toc452973709"/>
      <w:bookmarkStart w:id="103" w:name="_Toc29408"/>
      <w:bookmarkStart w:id="104" w:name="_Toc452558322"/>
      <w:bookmarkStart w:id="105" w:name="_Toc20209"/>
      <w:bookmarkStart w:id="106" w:name="_Toc1873"/>
      <w:bookmarkStart w:id="107" w:name="_Toc23125"/>
      <w:bookmarkStart w:id="108" w:name="_Toc15552"/>
      <w:bookmarkStart w:id="109" w:name="_Toc29942"/>
      <w:bookmarkStart w:id="110" w:name="_Toc452558101"/>
      <w:bookmarkStart w:id="111" w:name="_Toc14519"/>
      <w:r>
        <w:rPr>
          <w:rFonts w:hint="eastAsia" w:ascii="宋体" w:hAnsi="宋体" w:cs="宋体"/>
          <w:snapToGrid w:val="0"/>
          <w:color w:val="auto"/>
          <w:kern w:val="0"/>
          <w:sz w:val="24"/>
          <w:highlight w:val="none"/>
          <w:lang w:eastAsia="zh-CN"/>
        </w:rPr>
        <w:t>。</w:t>
      </w:r>
    </w:p>
    <w:p>
      <w:pPr>
        <w:adjustRightInd w:val="0"/>
        <w:snapToGrid w:val="0"/>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（三） 设计要求</w:t>
      </w:r>
      <w:bookmarkEnd w:id="102"/>
      <w:bookmarkEnd w:id="103"/>
      <w:bookmarkEnd w:id="104"/>
      <w:bookmarkEnd w:id="105"/>
      <w:bookmarkEnd w:id="106"/>
      <w:bookmarkEnd w:id="107"/>
      <w:bookmarkEnd w:id="108"/>
      <w:bookmarkEnd w:id="109"/>
      <w:bookmarkEnd w:id="110"/>
      <w:bookmarkEnd w:id="111"/>
    </w:p>
    <w:p>
      <w:pPr>
        <w:pStyle w:val="3"/>
        <w:spacing w:before="120" w:after="120" w:line="240" w:lineRule="auto"/>
        <w:rPr>
          <w:rFonts w:hint="eastAsia" w:ascii="宋体" w:hAnsi="宋体" w:eastAsia="宋体" w:cs="宋体"/>
          <w:b/>
          <w:bCs w:val="0"/>
          <w:color w:val="auto"/>
          <w:highlight w:val="none"/>
        </w:rPr>
      </w:pPr>
      <w:bookmarkStart w:id="112" w:name="_Toc12689"/>
      <w:bookmarkStart w:id="113" w:name="_Toc11748"/>
      <w:bookmarkStart w:id="114" w:name="_Toc22148"/>
      <w:bookmarkStart w:id="115" w:name="_Toc20962"/>
      <w:bookmarkStart w:id="116" w:name="_Toc11628"/>
      <w:bookmarkStart w:id="117" w:name="_Toc27122"/>
      <w:bookmarkStart w:id="118" w:name="_Toc13523"/>
      <w:bookmarkStart w:id="119" w:name="_Toc452973710"/>
      <w:bookmarkStart w:id="120" w:name="_Toc452558102"/>
      <w:bookmarkStart w:id="121" w:name="_Toc452558323"/>
      <w:bookmarkStart w:id="122" w:name="_Toc447612395"/>
      <w:bookmarkStart w:id="123" w:name="_Toc447612874"/>
      <w:bookmarkStart w:id="124" w:name="_Toc11212"/>
      <w:r>
        <w:rPr>
          <w:rFonts w:hint="eastAsia" w:ascii="宋体" w:hAnsi="宋体" w:eastAsia="宋体" w:cs="宋体"/>
          <w:b/>
          <w:bCs w:val="0"/>
          <w:color w:val="auto"/>
          <w:highlight w:val="none"/>
        </w:rPr>
        <w:t>3.1设计总体要求</w:t>
      </w:r>
      <w:bookmarkEnd w:id="112"/>
      <w:bookmarkEnd w:id="113"/>
      <w:bookmarkEnd w:id="114"/>
      <w:bookmarkEnd w:id="115"/>
      <w:bookmarkEnd w:id="116"/>
      <w:bookmarkEnd w:id="117"/>
      <w:bookmarkEnd w:id="118"/>
    </w:p>
    <w:p>
      <w:pPr>
        <w:spacing w:line="360" w:lineRule="auto"/>
        <w:ind w:firstLine="480" w:firstLineChars="200"/>
        <w:rPr>
          <w:rFonts w:hint="eastAsia" w:ascii="宋体" w:hAnsi="宋体" w:cs="宋体"/>
          <w:color w:val="auto"/>
          <w:kern w:val="0"/>
          <w:sz w:val="24"/>
          <w:highlight w:val="none"/>
        </w:rPr>
      </w:pP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设计单位遵循现行法律法规和规范标准，根据项目可行性研究报告和业主需求书，按照</w:t>
      </w:r>
      <w:r>
        <w:rPr>
          <w:rFonts w:hint="eastAsia" w:ascii="宋体" w:hAnsi="宋体" w:cs="宋体"/>
          <w:color w:val="auto"/>
          <w:kern w:val="0"/>
          <w:sz w:val="24"/>
          <w:highlight w:val="none"/>
          <w:lang w:eastAsia="zh-CN"/>
        </w:rPr>
        <w:t>韶关市</w:t>
      </w:r>
      <w:r>
        <w:rPr>
          <w:rFonts w:hint="eastAsia" w:ascii="宋体" w:hAnsi="宋体" w:cs="宋体"/>
          <w:color w:val="auto"/>
          <w:kern w:val="0"/>
          <w:sz w:val="24"/>
          <w:highlight w:val="none"/>
        </w:rPr>
        <w:t>建设相关设计管理要求进行设计工作。项目立项及可行性研究报告批复的建设事项、内容、标准和要求，应与初步设计成果、施工图设计成果以及概（预）算编制的事项、内容等要相统一。</w:t>
      </w:r>
    </w:p>
    <w:p>
      <w:pPr>
        <w:pStyle w:val="3"/>
        <w:spacing w:before="120" w:after="120" w:line="240" w:lineRule="auto"/>
        <w:rPr>
          <w:rFonts w:hint="eastAsia" w:ascii="宋体" w:hAnsi="宋体" w:eastAsia="宋体" w:cs="宋体"/>
          <w:b/>
          <w:bCs w:val="0"/>
          <w:color w:val="auto"/>
          <w:highlight w:val="none"/>
        </w:rPr>
      </w:pPr>
      <w:bookmarkStart w:id="125" w:name="_Toc17636"/>
      <w:bookmarkStart w:id="126" w:name="_Toc6822"/>
      <w:bookmarkStart w:id="127" w:name="_Toc21521"/>
      <w:bookmarkStart w:id="128" w:name="_Toc30924"/>
      <w:bookmarkStart w:id="129" w:name="_Toc13548"/>
      <w:bookmarkStart w:id="130" w:name="_Toc19902"/>
      <w:bookmarkStart w:id="131" w:name="_Toc13139"/>
      <w:r>
        <w:rPr>
          <w:rFonts w:hint="eastAsia" w:ascii="宋体" w:hAnsi="宋体" w:eastAsia="宋体" w:cs="宋体"/>
          <w:b/>
          <w:bCs w:val="0"/>
          <w:color w:val="auto"/>
          <w:highlight w:val="none"/>
        </w:rPr>
        <w:t>3.2设计工作要求</w:t>
      </w:r>
      <w:bookmarkEnd w:id="125"/>
      <w:bookmarkEnd w:id="126"/>
      <w:bookmarkEnd w:id="127"/>
      <w:bookmarkEnd w:id="128"/>
      <w:bookmarkEnd w:id="129"/>
      <w:bookmarkEnd w:id="130"/>
      <w:bookmarkEnd w:id="131"/>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各阶段的设计工作除遵照设计合同、业主需求书、现行法律法规和规范标准、政府有关部门的规定和审批意见的有关规定等外，还需要做到招标人提出的</w:t>
      </w:r>
      <w:r>
        <w:rPr>
          <w:rFonts w:hint="eastAsia" w:ascii="宋体" w:hAnsi="宋体" w:cs="宋体"/>
          <w:color w:val="auto"/>
          <w:sz w:val="24"/>
          <w:highlight w:val="none"/>
          <w:lang w:eastAsia="zh-CN"/>
        </w:rPr>
        <w:t>相关</w:t>
      </w:r>
      <w:r>
        <w:rPr>
          <w:rFonts w:hint="eastAsia" w:ascii="宋体" w:hAnsi="宋体" w:cs="宋体"/>
          <w:color w:val="auto"/>
          <w:sz w:val="24"/>
          <w:highlight w:val="none"/>
        </w:rPr>
        <w:t>设计要求。</w:t>
      </w:r>
    </w:p>
    <w:p>
      <w:pPr>
        <w:pStyle w:val="4"/>
        <w:spacing w:line="240" w:lineRule="auto"/>
        <w:rPr>
          <w:rFonts w:hint="eastAsia" w:ascii="宋体" w:hAnsi="宋体" w:eastAsia="宋体" w:cs="宋体"/>
          <w:b/>
          <w:bCs w:val="0"/>
          <w:color w:val="auto"/>
          <w:highlight w:val="none"/>
        </w:rPr>
      </w:pPr>
      <w:bookmarkStart w:id="132" w:name="_Toc15844"/>
      <w:r>
        <w:rPr>
          <w:rFonts w:hint="eastAsia" w:ascii="宋体" w:hAnsi="宋体" w:eastAsia="宋体" w:cs="宋体"/>
          <w:b/>
          <w:bCs w:val="0"/>
          <w:color w:val="auto"/>
          <w:highlight w:val="none"/>
        </w:rPr>
        <w:t>3.2.1规划设计要求</w:t>
      </w:r>
      <w:bookmarkEnd w:id="13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校园规划设计</w:t>
      </w:r>
      <w:r>
        <w:rPr>
          <w:rFonts w:hint="eastAsia" w:ascii="宋体" w:hAnsi="宋体" w:cs="宋体"/>
          <w:color w:val="auto"/>
          <w:sz w:val="24"/>
          <w:highlight w:val="none"/>
          <w:lang w:eastAsia="zh-CN"/>
        </w:rPr>
        <w:t>体现</w:t>
      </w:r>
      <w:r>
        <w:rPr>
          <w:rFonts w:hint="eastAsia" w:ascii="宋体" w:hAnsi="宋体" w:cs="宋体"/>
          <w:color w:val="auto"/>
          <w:sz w:val="24"/>
          <w:highlight w:val="none"/>
        </w:rPr>
        <w:t>翁源兰韵</w:t>
      </w:r>
      <w:r>
        <w:rPr>
          <w:rFonts w:hint="eastAsia" w:ascii="宋体" w:hAnsi="宋体" w:cs="宋体"/>
          <w:color w:val="auto"/>
          <w:sz w:val="24"/>
          <w:highlight w:val="none"/>
          <w:lang w:eastAsia="zh-CN"/>
        </w:rPr>
        <w:t>的特色</w:t>
      </w:r>
      <w:r>
        <w:rPr>
          <w:rFonts w:hint="eastAsia" w:ascii="宋体" w:hAnsi="宋体" w:cs="宋体"/>
          <w:color w:val="auto"/>
          <w:sz w:val="24"/>
          <w:highlight w:val="none"/>
        </w:rPr>
        <w:t>，提高规划的科学性和前瞻性，整体提升空间立体性、平面协调性、风貌整体性和文脉延续性。要求设计单位把竖向设计和管线规划平衡设计落实在方案深化设计阶段。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停车场应按有关部门的规定比例建设充电设施或预留充电设施接口。</w:t>
      </w:r>
    </w:p>
    <w:p>
      <w:pPr>
        <w:spacing w:line="240" w:lineRule="auto"/>
        <w:rPr>
          <w:rFonts w:hint="eastAsia" w:ascii="宋体" w:hAnsi="宋体" w:cs="宋体"/>
          <w:color w:val="auto"/>
          <w:highlight w:val="none"/>
        </w:rPr>
      </w:pPr>
    </w:p>
    <w:p>
      <w:pPr>
        <w:pStyle w:val="4"/>
        <w:spacing w:line="240" w:lineRule="auto"/>
        <w:rPr>
          <w:rFonts w:hint="eastAsia" w:ascii="宋体" w:hAnsi="宋体" w:eastAsia="宋体" w:cs="宋体"/>
          <w:b/>
          <w:bCs w:val="0"/>
          <w:color w:val="auto"/>
          <w:highlight w:val="none"/>
        </w:rPr>
      </w:pPr>
      <w:bookmarkStart w:id="133" w:name="_Toc21679"/>
      <w:r>
        <w:rPr>
          <w:rFonts w:hint="eastAsia" w:ascii="宋体" w:hAnsi="宋体" w:eastAsia="宋体" w:cs="宋体"/>
          <w:b/>
          <w:bCs w:val="0"/>
          <w:color w:val="auto"/>
          <w:highlight w:val="none"/>
        </w:rPr>
        <w:t>3.2.</w:t>
      </w:r>
      <w:r>
        <w:rPr>
          <w:rFonts w:hint="eastAsia" w:ascii="宋体" w:hAnsi="宋体" w:eastAsia="宋体" w:cs="宋体"/>
          <w:b/>
          <w:bCs w:val="0"/>
          <w:color w:val="auto"/>
          <w:highlight w:val="none"/>
          <w:lang w:val="en-US" w:eastAsia="zh-CN"/>
        </w:rPr>
        <w:t>3</w:t>
      </w:r>
      <w:r>
        <w:rPr>
          <w:rFonts w:hint="eastAsia" w:ascii="宋体" w:hAnsi="宋体" w:eastAsia="宋体" w:cs="宋体"/>
          <w:b/>
          <w:bCs w:val="0"/>
          <w:color w:val="auto"/>
          <w:highlight w:val="none"/>
        </w:rPr>
        <w:t>其它设计要求</w:t>
      </w:r>
      <w:bookmarkEnd w:id="133"/>
    </w:p>
    <w:p>
      <w:pPr>
        <w:spacing w:line="360" w:lineRule="auto"/>
        <w:ind w:firstLine="480" w:firstLineChars="200"/>
        <w:rPr>
          <w:rFonts w:hint="eastAsia" w:ascii="宋体" w:hAnsi="宋体" w:cs="宋体"/>
          <w:color w:val="auto"/>
          <w:sz w:val="24"/>
          <w:szCs w:val="21"/>
          <w:highlight w:val="none"/>
        </w:rPr>
      </w:pPr>
      <w:r>
        <w:rPr>
          <w:rFonts w:hint="eastAsia" w:ascii="宋体" w:hAnsi="宋体" w:cs="宋体"/>
          <w:snapToGrid w:val="0"/>
          <w:color w:val="auto"/>
          <w:sz w:val="24"/>
          <w:szCs w:val="21"/>
          <w:highlight w:val="none"/>
        </w:rPr>
        <w:t>1.</w:t>
      </w:r>
      <w:r>
        <w:rPr>
          <w:rFonts w:hint="eastAsia" w:ascii="宋体" w:hAnsi="宋体" w:cs="宋体"/>
          <w:color w:val="auto"/>
          <w:sz w:val="24"/>
          <w:szCs w:val="21"/>
          <w:highlight w:val="none"/>
        </w:rPr>
        <w:t>幕墙设计：</w:t>
      </w:r>
      <w:r>
        <w:rPr>
          <w:rFonts w:hint="eastAsia" w:ascii="宋体" w:hAnsi="宋体" w:cs="宋体"/>
          <w:color w:val="auto"/>
          <w:sz w:val="24"/>
          <w:szCs w:val="21"/>
          <w:highlight w:val="none"/>
          <w:lang w:val="en-US" w:eastAsia="zh-CN"/>
        </w:rPr>
        <w:t>如项目存在幕墙工程专项设计，</w:t>
      </w:r>
      <w:r>
        <w:rPr>
          <w:rFonts w:hint="eastAsia" w:ascii="宋体" w:hAnsi="宋体" w:cs="宋体"/>
          <w:color w:val="auto"/>
          <w:sz w:val="24"/>
          <w:szCs w:val="21"/>
          <w:highlight w:val="none"/>
        </w:rPr>
        <w:t>须进行技术方案分析。</w:t>
      </w:r>
    </w:p>
    <w:p>
      <w:pPr>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color w:val="auto"/>
          <w:sz w:val="24"/>
          <w:szCs w:val="21"/>
          <w:highlight w:val="none"/>
          <w:lang w:val="en-US" w:eastAsia="zh-CN"/>
        </w:rPr>
        <w:t>2</w:t>
      </w:r>
      <w:r>
        <w:rPr>
          <w:rFonts w:hint="eastAsia" w:ascii="宋体" w:hAnsi="宋体" w:cs="宋体"/>
          <w:color w:val="auto"/>
          <w:sz w:val="24"/>
          <w:szCs w:val="21"/>
          <w:highlight w:val="none"/>
        </w:rPr>
        <w:t>.</w:t>
      </w:r>
      <w:r>
        <w:rPr>
          <w:rFonts w:hint="eastAsia" w:ascii="宋体" w:hAnsi="宋体" w:cs="宋体"/>
          <w:snapToGrid w:val="0"/>
          <w:color w:val="auto"/>
          <w:sz w:val="24"/>
          <w:szCs w:val="21"/>
          <w:highlight w:val="none"/>
        </w:rPr>
        <w:t>建筑节能新技术的应用及设计：进行技术方案分析。</w:t>
      </w:r>
    </w:p>
    <w:p>
      <w:pPr>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.管线综合平衡设计：各种专业设备、系统的管线在建筑物内、外的路由平衡设计(要求小管线、线槽做穿梁设计)，进行技术方案分析。</w:t>
      </w:r>
    </w:p>
    <w:p>
      <w:pPr>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snapToGrid w:val="0"/>
          <w:color w:val="auto"/>
          <w:sz w:val="24"/>
          <w:szCs w:val="21"/>
          <w:highlight w:val="none"/>
          <w:lang w:val="en-US" w:eastAsia="zh-CN"/>
        </w:rPr>
        <w:t>4</w:t>
      </w:r>
      <w:r>
        <w:rPr>
          <w:rFonts w:hint="eastAsia" w:ascii="宋体" w:hAnsi="宋体" w:cs="宋体"/>
          <w:snapToGrid w:val="0"/>
          <w:color w:val="auto"/>
          <w:sz w:val="24"/>
          <w:szCs w:val="21"/>
          <w:highlight w:val="none"/>
        </w:rPr>
        <w:t>.无障碍设计</w:t>
      </w:r>
      <w:r>
        <w:rPr>
          <w:rFonts w:hint="eastAsia" w:ascii="宋体" w:hAnsi="宋体" w:cs="宋体"/>
          <w:snapToGrid w:val="0"/>
          <w:color w:val="auto"/>
          <w:sz w:val="24"/>
          <w:szCs w:val="21"/>
          <w:highlight w:val="none"/>
          <w:lang w:eastAsia="zh-CN"/>
        </w:rPr>
        <w:t>：</w:t>
      </w:r>
      <w:r>
        <w:rPr>
          <w:rFonts w:hint="eastAsia" w:ascii="宋体" w:hAnsi="宋体" w:cs="宋体"/>
          <w:snapToGrid w:val="0"/>
          <w:color w:val="auto"/>
          <w:sz w:val="24"/>
          <w:szCs w:val="21"/>
          <w:highlight w:val="none"/>
        </w:rPr>
        <w:t>无障碍设施建设应符合相关规范的设计要求，各类活动场地和场室要方便乘轮椅者到达和使用。</w:t>
      </w:r>
    </w:p>
    <w:p>
      <w:pPr>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snapToGrid w:val="0"/>
          <w:color w:val="auto"/>
          <w:sz w:val="24"/>
          <w:szCs w:val="21"/>
          <w:highlight w:val="none"/>
          <w:lang w:val="en-US" w:eastAsia="zh-CN"/>
        </w:rPr>
        <w:t>5</w:t>
      </w:r>
      <w:r>
        <w:rPr>
          <w:rFonts w:hint="eastAsia" w:ascii="宋体" w:hAnsi="宋体" w:cs="宋体"/>
          <w:snapToGrid w:val="0"/>
          <w:color w:val="auto"/>
          <w:sz w:val="24"/>
          <w:szCs w:val="21"/>
          <w:highlight w:val="none"/>
        </w:rPr>
        <w:t>.建筑机电抗震设计</w:t>
      </w:r>
      <w:r>
        <w:rPr>
          <w:rFonts w:hint="eastAsia" w:ascii="宋体" w:hAnsi="宋体" w:cs="宋体"/>
          <w:snapToGrid w:val="0"/>
          <w:color w:val="auto"/>
          <w:sz w:val="24"/>
          <w:szCs w:val="21"/>
          <w:highlight w:val="none"/>
          <w:lang w:eastAsia="zh-CN"/>
        </w:rPr>
        <w:t>：</w:t>
      </w:r>
      <w:r>
        <w:rPr>
          <w:rFonts w:hint="eastAsia" w:ascii="宋体" w:hAnsi="宋体" w:cs="宋体"/>
          <w:snapToGrid w:val="0"/>
          <w:color w:val="auto"/>
          <w:sz w:val="24"/>
          <w:szCs w:val="21"/>
          <w:highlight w:val="none"/>
        </w:rPr>
        <w:t>依据《建筑机电工程抗震设计规范》（GB50981-2014）的规定，抗震设计烈度为6度及6度以上地区的建筑机电工程必须进行抗震设计。</w:t>
      </w:r>
    </w:p>
    <w:p>
      <w:pPr>
        <w:pStyle w:val="2"/>
        <w:spacing w:line="360" w:lineRule="auto"/>
        <w:jc w:val="left"/>
        <w:outlineLvl w:val="0"/>
        <w:rPr>
          <w:rFonts w:hint="eastAsia" w:ascii="宋体" w:hAnsi="宋体" w:eastAsia="宋体" w:cs="宋体"/>
          <w:color w:val="auto"/>
          <w:highlight w:val="none"/>
        </w:rPr>
      </w:pPr>
      <w:bookmarkStart w:id="134" w:name="_Toc15385"/>
      <w:bookmarkStart w:id="135" w:name="_Toc29122"/>
      <w:bookmarkStart w:id="136" w:name="_Toc7560"/>
      <w:bookmarkStart w:id="137" w:name="_Toc18013"/>
      <w:bookmarkStart w:id="138" w:name="_Toc19544"/>
      <w:bookmarkStart w:id="139" w:name="_Toc28064"/>
      <w:bookmarkStart w:id="140" w:name="_Toc30205"/>
      <w:r>
        <w:rPr>
          <w:rFonts w:hint="eastAsia" w:ascii="宋体" w:hAnsi="宋体" w:eastAsia="宋体" w:cs="宋体"/>
          <w:b/>
          <w:bCs/>
          <w:color w:val="auto"/>
          <w:kern w:val="2"/>
          <w:sz w:val="32"/>
          <w:szCs w:val="32"/>
          <w:highlight w:val="none"/>
          <w:lang w:val="en-US" w:eastAsia="zh-CN" w:bidi="ar-SA"/>
        </w:rPr>
        <w:t>（四 ）设计成果提交要求</w:t>
      </w:r>
      <w:bookmarkEnd w:id="134"/>
      <w:bookmarkEnd w:id="135"/>
      <w:bookmarkEnd w:id="136"/>
      <w:bookmarkEnd w:id="137"/>
      <w:bookmarkEnd w:id="138"/>
      <w:bookmarkEnd w:id="139"/>
      <w:bookmarkEnd w:id="140"/>
    </w:p>
    <w:p>
      <w:pPr>
        <w:spacing w:line="360" w:lineRule="auto"/>
        <w:jc w:val="left"/>
        <w:rPr>
          <w:rFonts w:hint="eastAsia" w:asciiTheme="minorEastAsia" w:hAnsiTheme="minorEastAsia"/>
          <w:b/>
          <w:color w:val="auto"/>
          <w:sz w:val="28"/>
          <w:szCs w:val="28"/>
          <w:highlight w:val="none"/>
          <w:lang w:val="en-US" w:eastAsia="zh-CN"/>
        </w:rPr>
      </w:pPr>
      <w:bookmarkStart w:id="141" w:name="_Toc24636"/>
      <w:bookmarkStart w:id="142" w:name="_Toc29021"/>
      <w:bookmarkStart w:id="143" w:name="_Toc31381"/>
      <w:bookmarkStart w:id="144" w:name="_Toc15391"/>
      <w:bookmarkStart w:id="145" w:name="_Toc18488"/>
      <w:bookmarkStart w:id="146" w:name="_Toc18792"/>
      <w:bookmarkStart w:id="147" w:name="_Toc22967"/>
      <w:r>
        <w:rPr>
          <w:rFonts w:hint="eastAsia" w:asciiTheme="minorEastAsia" w:hAnsiTheme="minorEastAsia"/>
          <w:b/>
          <w:color w:val="auto"/>
          <w:sz w:val="28"/>
          <w:szCs w:val="28"/>
          <w:highlight w:val="none"/>
          <w:lang w:val="en-US" w:eastAsia="zh-CN"/>
        </w:rPr>
        <w:t>4.1通用要求</w:t>
      </w:r>
      <w:bookmarkEnd w:id="141"/>
      <w:bookmarkEnd w:id="142"/>
      <w:bookmarkEnd w:id="143"/>
      <w:bookmarkEnd w:id="144"/>
      <w:bookmarkEnd w:id="145"/>
      <w:bookmarkEnd w:id="146"/>
      <w:bookmarkEnd w:id="147"/>
    </w:p>
    <w:p>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一、设计成果文件要求齐全、完整，内容、深度应符合规定，文字说明、图纸要准确清晰,各阶段设计应达到中华人民共和国建设部颁发的《建筑工程设计文件编制深度规定》、《市政公用工程设计文件编制深度规定》设计阶段深度。</w:t>
      </w:r>
    </w:p>
    <w:p>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二、凡是涉及到报批报建图纸文件，均需要按专业主管部门的报审要求，按时报送，并负责通过审批。</w:t>
      </w:r>
    </w:p>
    <w:p>
      <w:pPr>
        <w:pStyle w:val="3"/>
        <w:spacing w:before="120" w:after="120"/>
        <w:rPr>
          <w:rFonts w:hint="eastAsia" w:ascii="宋体" w:hAnsi="宋体" w:eastAsia="宋体" w:cs="宋体"/>
          <w:b/>
          <w:bCs w:val="0"/>
          <w:color w:val="auto"/>
          <w:sz w:val="28"/>
          <w:szCs w:val="28"/>
          <w:highlight w:val="none"/>
          <w:lang w:val="zh-CN"/>
        </w:rPr>
      </w:pPr>
      <w:bookmarkStart w:id="148" w:name="_Toc13426"/>
      <w:bookmarkStart w:id="149" w:name="_Toc9208"/>
      <w:bookmarkStart w:id="150" w:name="_Toc10468"/>
      <w:bookmarkStart w:id="151" w:name="_Toc19313"/>
      <w:bookmarkStart w:id="152" w:name="_Toc24522"/>
      <w:bookmarkStart w:id="153" w:name="_Toc28468"/>
      <w:bookmarkStart w:id="154" w:name="_Toc13736"/>
      <w:r>
        <w:rPr>
          <w:rFonts w:hint="eastAsia" w:ascii="宋体" w:hAnsi="宋体" w:eastAsia="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rPr>
        <w:t>.2</w:t>
      </w:r>
      <w:bookmarkEnd w:id="148"/>
      <w:bookmarkEnd w:id="149"/>
      <w:bookmarkEnd w:id="150"/>
      <w:bookmarkEnd w:id="151"/>
      <w:bookmarkEnd w:id="152"/>
      <w:bookmarkEnd w:id="153"/>
      <w:r>
        <w:rPr>
          <w:rFonts w:hint="eastAsia" w:ascii="宋体" w:hAnsi="宋体" w:eastAsia="宋体" w:cs="宋体"/>
          <w:b/>
          <w:bCs w:val="0"/>
          <w:color w:val="auto"/>
          <w:sz w:val="28"/>
          <w:szCs w:val="28"/>
          <w:highlight w:val="none"/>
          <w:lang w:val="zh-CN"/>
        </w:rPr>
        <w:t>设计成果及要求</w:t>
      </w:r>
      <w:bookmarkEnd w:id="154"/>
    </w:p>
    <w:p>
      <w:pPr>
        <w:spacing w:line="500" w:lineRule="exact"/>
        <w:ind w:firstLine="481" w:firstLineChars="200"/>
        <w:rPr>
          <w:rFonts w:cs="宋体" w:asciiTheme="minorEastAsia" w:hAnsiTheme="minorEastAsia"/>
          <w:b/>
          <w:color w:val="auto"/>
          <w:sz w:val="24"/>
          <w:szCs w:val="24"/>
          <w:highlight w:val="none"/>
          <w:lang w:val="zh-CN"/>
        </w:rPr>
      </w:pPr>
      <w:r>
        <w:rPr>
          <w:rFonts w:hint="eastAsia" w:asciiTheme="minorEastAsia" w:hAnsiTheme="minorEastAsia"/>
          <w:b/>
          <w:color w:val="auto"/>
          <w:sz w:val="24"/>
          <w:szCs w:val="24"/>
          <w:highlight w:val="none"/>
        </w:rPr>
        <w:t>1.成果内容</w:t>
      </w:r>
    </w:p>
    <w:p>
      <w:pPr>
        <w:autoSpaceDE w:val="0"/>
        <w:autoSpaceDN w:val="0"/>
        <w:adjustRightInd w:val="0"/>
        <w:spacing w:line="500" w:lineRule="exact"/>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方案阶段：根据招标人确定的方案，出具设计说明、方案设计图及</w:t>
      </w:r>
      <w:r>
        <w:rPr>
          <w:rFonts w:hint="eastAsia" w:asciiTheme="minorEastAsia" w:hAnsiTheme="minorEastAsia"/>
          <w:color w:val="auto"/>
          <w:sz w:val="24"/>
          <w:szCs w:val="24"/>
          <w:highlight w:val="none"/>
          <w:lang w:val="en-US" w:eastAsia="zh-CN"/>
        </w:rPr>
        <w:t>估算表</w:t>
      </w:r>
      <w:r>
        <w:rPr>
          <w:rFonts w:hint="eastAsia" w:asciiTheme="minorEastAsia" w:hAnsiTheme="minorEastAsia"/>
          <w:color w:val="auto"/>
          <w:sz w:val="24"/>
          <w:szCs w:val="24"/>
          <w:highlight w:val="none"/>
        </w:rPr>
        <w:t>；</w:t>
      </w:r>
    </w:p>
    <w:p>
      <w:pPr>
        <w:autoSpaceDE w:val="0"/>
        <w:autoSpaceDN w:val="0"/>
        <w:adjustRightInd w:val="0"/>
        <w:spacing w:line="500" w:lineRule="exact"/>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初步设计阶段</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根据方案设计图出具初步设计图纸</w:t>
      </w:r>
      <w:r>
        <w:rPr>
          <w:rFonts w:hint="eastAsia" w:asciiTheme="minorEastAsia" w:hAnsiTheme="minorEastAsia"/>
          <w:color w:val="auto"/>
          <w:sz w:val="24"/>
          <w:szCs w:val="24"/>
          <w:highlight w:val="none"/>
          <w:lang w:val="en-US" w:eastAsia="zh-CN"/>
        </w:rPr>
        <w:t>及概算</w:t>
      </w:r>
      <w:r>
        <w:rPr>
          <w:rFonts w:hint="eastAsia" w:asciiTheme="minorEastAsia" w:hAnsiTheme="minorEastAsia"/>
          <w:color w:val="auto"/>
          <w:sz w:val="24"/>
          <w:szCs w:val="24"/>
          <w:highlight w:val="none"/>
        </w:rPr>
        <w:t>，并组织专家评审</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初步设计及概算文件提交建设单位，配合进行第三方审查意见的修改完善</w:t>
      </w:r>
      <w:r>
        <w:rPr>
          <w:rFonts w:hint="eastAsia" w:asciiTheme="minorEastAsia" w:hAnsiTheme="minorEastAsia"/>
          <w:color w:val="auto"/>
          <w:sz w:val="24"/>
          <w:szCs w:val="24"/>
          <w:highlight w:val="none"/>
        </w:rPr>
        <w:t>；</w:t>
      </w:r>
    </w:p>
    <w:p>
      <w:pPr>
        <w:autoSpaceDE w:val="0"/>
        <w:autoSpaceDN w:val="0"/>
        <w:adjustRightInd w:val="0"/>
        <w:spacing w:line="500" w:lineRule="exact"/>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施工图阶段：按初步设计图纸及专家评审意见深化设计图纸，出具施工图，并通过施工图审查单位审查；</w:t>
      </w:r>
    </w:p>
    <w:p>
      <w:pPr>
        <w:spacing w:line="460" w:lineRule="exact"/>
        <w:ind w:firstLine="481" w:firstLineChars="20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2.成果清单</w:t>
      </w:r>
    </w:p>
    <w:p>
      <w:pPr>
        <w:spacing w:line="46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设计单位按以下要求向业主提交纸质文件，并提供电子版文件。</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5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shd w:val="clear" w:color="auto" w:fill="auto"/>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3252" w:type="dxa"/>
            <w:shd w:val="clear" w:color="auto" w:fill="auto"/>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成果及文件名称</w:t>
            </w:r>
          </w:p>
        </w:tc>
        <w:tc>
          <w:tcPr>
            <w:tcW w:w="2131" w:type="dxa"/>
            <w:shd w:val="clear" w:color="auto" w:fill="auto"/>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份数</w:t>
            </w:r>
          </w:p>
        </w:tc>
        <w:tc>
          <w:tcPr>
            <w:tcW w:w="2131" w:type="dxa"/>
            <w:shd w:val="clear" w:color="auto" w:fill="auto"/>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p>
        </w:tc>
        <w:tc>
          <w:tcPr>
            <w:tcW w:w="3252" w:type="dxa"/>
            <w:shd w:val="clear" w:color="auto" w:fill="auto"/>
            <w:vAlign w:val="center"/>
          </w:tcPr>
          <w:p>
            <w:pPr>
              <w:autoSpaceDE w:val="0"/>
              <w:autoSpaceDN w:val="0"/>
              <w:spacing w:line="460" w:lineRule="exact"/>
              <w:jc w:val="center"/>
              <w:rPr>
                <w:rFonts w:hint="eastAsia" w:eastAsia="宋体"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方案</w:t>
            </w:r>
            <w:r>
              <w:rPr>
                <w:rFonts w:hint="eastAsia" w:asciiTheme="minorEastAsia" w:hAnsiTheme="minorEastAsia"/>
                <w:color w:val="auto"/>
                <w:sz w:val="24"/>
                <w:szCs w:val="24"/>
                <w:highlight w:val="none"/>
                <w:lang w:val="en-US" w:eastAsia="zh-CN"/>
              </w:rPr>
              <w:t>设计图</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按合同约定</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电子版资料一份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w:t>
            </w:r>
          </w:p>
        </w:tc>
        <w:tc>
          <w:tcPr>
            <w:tcW w:w="3252"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概算书</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按合同约定</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电子版资料一份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w:t>
            </w:r>
          </w:p>
        </w:tc>
        <w:tc>
          <w:tcPr>
            <w:tcW w:w="3252"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初步设计</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按合同约定</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电子版资料一份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3252" w:type="dxa"/>
            <w:shd w:val="clear" w:color="auto" w:fill="auto"/>
            <w:vAlign w:val="center"/>
          </w:tcPr>
          <w:p>
            <w:pPr>
              <w:autoSpaceDE w:val="0"/>
              <w:autoSpaceDN w:val="0"/>
              <w:spacing w:line="460" w:lineRule="exact"/>
              <w:jc w:val="center"/>
              <w:rPr>
                <w:rFonts w:hint="eastAsia"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施工图</w:t>
            </w:r>
            <w:r>
              <w:rPr>
                <w:rFonts w:hint="eastAsia" w:asciiTheme="minorEastAsia" w:hAnsiTheme="minorEastAsia"/>
                <w:color w:val="auto"/>
                <w:sz w:val="24"/>
                <w:szCs w:val="24"/>
                <w:highlight w:val="none"/>
                <w:lang w:val="en-US" w:eastAsia="zh-CN"/>
              </w:rPr>
              <w:t>设计</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按合同约定</w:t>
            </w:r>
          </w:p>
        </w:tc>
        <w:tc>
          <w:tcPr>
            <w:tcW w:w="2131" w:type="dxa"/>
            <w:shd w:val="clear" w:color="auto" w:fill="auto"/>
            <w:vAlign w:val="center"/>
          </w:tcPr>
          <w:p>
            <w:pPr>
              <w:autoSpaceDE w:val="0"/>
              <w:autoSpaceDN w:val="0"/>
              <w:spacing w:line="460" w:lineRule="exact"/>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电子版资料一份</w:t>
            </w:r>
          </w:p>
        </w:tc>
      </w:tr>
    </w:tbl>
    <w:p>
      <w:pPr>
        <w:snapToGrid w:val="0"/>
        <w:spacing w:line="50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注：施工</w:t>
      </w:r>
      <w:r>
        <w:rPr>
          <w:rFonts w:asciiTheme="minorEastAsia" w:hAnsiTheme="minorEastAsia"/>
          <w:color w:val="auto"/>
          <w:sz w:val="24"/>
          <w:szCs w:val="24"/>
          <w:highlight w:val="none"/>
        </w:rPr>
        <w:t>图除包括图纸、说明书等纸质文件外，还包括全套图纸的</w:t>
      </w:r>
      <w:r>
        <w:rPr>
          <w:rFonts w:hint="eastAsia" w:asciiTheme="minorEastAsia" w:hAnsiTheme="minorEastAsia"/>
          <w:color w:val="auto"/>
          <w:sz w:val="24"/>
          <w:szCs w:val="24"/>
          <w:highlight w:val="none"/>
        </w:rPr>
        <w:t>CAD图</w:t>
      </w:r>
      <w:r>
        <w:rPr>
          <w:rFonts w:asciiTheme="minorEastAsia" w:hAnsiTheme="minorEastAsia"/>
          <w:color w:val="auto"/>
          <w:sz w:val="24"/>
          <w:szCs w:val="24"/>
          <w:highlight w:val="none"/>
        </w:rPr>
        <w:t>光盘</w:t>
      </w:r>
      <w:r>
        <w:rPr>
          <w:rFonts w:hint="eastAsia" w:asciiTheme="minorEastAsia" w:hAnsiTheme="minorEastAsia"/>
          <w:color w:val="auto"/>
          <w:sz w:val="24"/>
          <w:szCs w:val="24"/>
          <w:highlight w:val="none"/>
        </w:rPr>
        <w:t>。</w:t>
      </w:r>
    </w:p>
    <w:p>
      <w:pPr>
        <w:spacing w:line="360" w:lineRule="auto"/>
        <w:ind w:firstLine="562" w:firstLineChars="200"/>
        <w:jc w:val="left"/>
        <w:rPr>
          <w:rFonts w:hint="eastAsia" w:asciiTheme="minorEastAsia" w:hAnsiTheme="minorEastAsia"/>
          <w:b/>
          <w:color w:val="auto"/>
          <w:sz w:val="28"/>
          <w:szCs w:val="28"/>
          <w:highlight w:val="none"/>
          <w:lang w:eastAsia="zh-CN"/>
        </w:rPr>
      </w:pPr>
      <w:r>
        <w:rPr>
          <w:rFonts w:hint="eastAsia" w:asciiTheme="minorEastAsia" w:hAnsiTheme="minorEastAsia"/>
          <w:b/>
          <w:color w:val="auto"/>
          <w:sz w:val="28"/>
          <w:szCs w:val="28"/>
          <w:highlight w:val="none"/>
        </w:rPr>
        <w:t>3.设计进度周期</w:t>
      </w:r>
      <w:r>
        <w:rPr>
          <w:rFonts w:hint="eastAsia" w:asciiTheme="minorEastAsia" w:hAnsiTheme="minorEastAsia"/>
          <w:b/>
          <w:color w:val="auto"/>
          <w:sz w:val="28"/>
          <w:szCs w:val="28"/>
          <w:highlight w:val="none"/>
          <w:lang w:eastAsia="zh-CN"/>
        </w:rPr>
        <w:t>拟计划安排</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项目启动（</w:t>
      </w:r>
      <w:r>
        <w:rPr>
          <w:rFonts w:hint="eastAsia" w:ascii="宋体" w:hAnsi="宋体" w:cs="宋体"/>
          <w:color w:val="auto"/>
          <w:sz w:val="24"/>
          <w:szCs w:val="24"/>
          <w:highlight w:val="none"/>
          <w:lang w:val="en-US" w:eastAsia="zh-CN"/>
        </w:rPr>
        <w:t>签订合同）</w:t>
      </w:r>
      <w:r>
        <w:rPr>
          <w:rFonts w:hint="eastAsia" w:ascii="宋体" w:hAnsi="宋体" w:cs="宋体"/>
          <w:color w:val="auto"/>
          <w:sz w:val="24"/>
          <w:szCs w:val="24"/>
          <w:highlight w:val="none"/>
          <w:lang w:val="zh-CN"/>
        </w:rPr>
        <w:t>后</w:t>
      </w:r>
      <w:r>
        <w:rPr>
          <w:rFonts w:hint="eastAsia" w:ascii="宋体" w:hAnsi="宋体" w:cs="宋体"/>
          <w:color w:val="auto"/>
          <w:sz w:val="24"/>
          <w:szCs w:val="24"/>
          <w:highlight w:val="none"/>
          <w:lang w:val="en-US" w:eastAsia="zh-CN"/>
        </w:rPr>
        <w:t>20</w:t>
      </w:r>
      <w:r>
        <w:rPr>
          <w:rFonts w:ascii="宋体" w:hAnsi="宋体" w:cs="宋体"/>
          <w:color w:val="auto"/>
          <w:sz w:val="24"/>
          <w:szCs w:val="24"/>
          <w:highlight w:val="none"/>
        </w:rPr>
        <w:t>个日历天完成</w:t>
      </w:r>
      <w:r>
        <w:rPr>
          <w:rFonts w:hint="eastAsia" w:ascii="宋体" w:hAnsi="宋体" w:cs="宋体"/>
          <w:color w:val="auto"/>
          <w:sz w:val="24"/>
          <w:szCs w:val="24"/>
          <w:highlight w:val="none"/>
          <w:lang w:val="en-US" w:eastAsia="zh-CN"/>
        </w:rPr>
        <w:t>方案设计图，提交方案技术审查评审；并在10个工作日内根据评审意见修改方案设计，进行提交规划报建；</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2）方案评审通过后45</w:t>
      </w:r>
      <w:r>
        <w:rPr>
          <w:rFonts w:ascii="宋体" w:hAnsi="宋体" w:cs="宋体"/>
          <w:color w:val="auto"/>
          <w:sz w:val="24"/>
          <w:szCs w:val="24"/>
          <w:highlight w:val="none"/>
        </w:rPr>
        <w:t>个日历天初步设计文件</w:t>
      </w:r>
      <w:r>
        <w:rPr>
          <w:rFonts w:hint="eastAsia" w:ascii="宋体" w:hAnsi="宋体" w:cs="宋体"/>
          <w:color w:val="auto"/>
          <w:sz w:val="24"/>
          <w:szCs w:val="24"/>
          <w:highlight w:val="none"/>
        </w:rPr>
        <w:t>及概算书</w:t>
      </w:r>
      <w:r>
        <w:rPr>
          <w:rFonts w:ascii="宋体" w:hAnsi="宋体" w:cs="宋体"/>
          <w:color w:val="auto"/>
          <w:sz w:val="24"/>
          <w:szCs w:val="24"/>
          <w:highlight w:val="none"/>
        </w:rPr>
        <w:t>，并在10个日历天组织专家评审，并</w:t>
      </w:r>
      <w:r>
        <w:rPr>
          <w:rFonts w:hint="eastAsia" w:ascii="宋体" w:hAnsi="宋体" w:cs="宋体"/>
          <w:color w:val="auto"/>
          <w:sz w:val="24"/>
          <w:szCs w:val="24"/>
          <w:highlight w:val="none"/>
          <w:lang w:val="en-US" w:eastAsia="zh-CN"/>
        </w:rPr>
        <w:t>在10个日历天内</w:t>
      </w:r>
      <w:r>
        <w:rPr>
          <w:rFonts w:ascii="宋体" w:hAnsi="宋体" w:cs="宋体"/>
          <w:color w:val="auto"/>
          <w:sz w:val="24"/>
          <w:szCs w:val="24"/>
          <w:highlight w:val="none"/>
        </w:rPr>
        <w:t>按专家意见修改初步设计文件</w:t>
      </w:r>
      <w:r>
        <w:rPr>
          <w:rFonts w:hint="eastAsia" w:ascii="宋体" w:hAnsi="宋体" w:cs="宋体"/>
          <w:color w:val="auto"/>
          <w:sz w:val="24"/>
          <w:szCs w:val="24"/>
          <w:highlight w:val="none"/>
          <w:lang w:val="en-US" w:eastAsia="zh-CN"/>
        </w:rPr>
        <w:t>及概算书</w:t>
      </w:r>
      <w:r>
        <w:rPr>
          <w:rFonts w:hint="eastAsia" w:ascii="宋体" w:hAnsi="宋体" w:cs="宋体"/>
          <w:color w:val="auto"/>
          <w:sz w:val="24"/>
          <w:szCs w:val="24"/>
          <w:highlight w:val="none"/>
          <w:lang w:val="zh-CN"/>
        </w:rPr>
        <w:t>。</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初步设计文件</w:t>
      </w:r>
      <w:r>
        <w:rPr>
          <w:rFonts w:hint="eastAsia" w:ascii="宋体" w:hAnsi="宋体" w:cs="宋体"/>
          <w:color w:val="auto"/>
          <w:sz w:val="24"/>
          <w:szCs w:val="24"/>
          <w:highlight w:val="none"/>
          <w:lang w:val="en-US" w:eastAsia="zh-CN"/>
        </w:rPr>
        <w:t>及概算审核完后45</w:t>
      </w:r>
      <w:r>
        <w:rPr>
          <w:rFonts w:hint="eastAsia" w:ascii="宋体" w:hAnsi="宋体" w:cs="宋体"/>
          <w:color w:val="auto"/>
          <w:sz w:val="24"/>
          <w:szCs w:val="24"/>
          <w:highlight w:val="none"/>
          <w:lang w:val="zh-CN"/>
        </w:rPr>
        <w:t>个日历天完成施工</w:t>
      </w:r>
      <w:r>
        <w:rPr>
          <w:rFonts w:hint="eastAsia" w:ascii="宋体" w:hAnsi="宋体" w:cs="宋体"/>
          <w:color w:val="auto"/>
          <w:sz w:val="24"/>
          <w:szCs w:val="24"/>
          <w:highlight w:val="none"/>
          <w:lang w:val="en-US" w:eastAsia="zh-CN"/>
        </w:rPr>
        <w:t>设计，提交第三方审图单位进行施工图审查</w:t>
      </w:r>
      <w:r>
        <w:rPr>
          <w:rFonts w:hint="eastAsia" w:ascii="宋体" w:hAnsi="宋体" w:cs="宋体"/>
          <w:color w:val="auto"/>
          <w:sz w:val="24"/>
          <w:szCs w:val="24"/>
          <w:highlight w:val="none"/>
          <w:lang w:val="zh-CN"/>
        </w:rPr>
        <w:t>；15个日历天通过施工图审查，</w:t>
      </w:r>
      <w:r>
        <w:rPr>
          <w:rFonts w:hint="eastAsia" w:ascii="宋体" w:hAnsi="宋体" w:cs="宋体"/>
          <w:color w:val="auto"/>
          <w:sz w:val="24"/>
          <w:szCs w:val="24"/>
          <w:highlight w:val="none"/>
          <w:lang w:val="en-US" w:eastAsia="zh-CN"/>
        </w:rPr>
        <w:t>取得施工图设计文件审查合格书</w:t>
      </w:r>
      <w:r>
        <w:rPr>
          <w:rFonts w:hint="eastAsia" w:ascii="宋体" w:hAnsi="宋体" w:cs="宋体"/>
          <w:color w:val="auto"/>
          <w:sz w:val="24"/>
          <w:szCs w:val="24"/>
          <w:highlight w:val="none"/>
          <w:lang w:val="zh-CN"/>
        </w:rPr>
        <w:t>。</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施工图审查单位通过</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个日历天完成施工图设计文件</w:t>
      </w:r>
      <w:r>
        <w:rPr>
          <w:rFonts w:hint="eastAsia" w:ascii="宋体" w:hAnsi="宋体" w:cs="宋体"/>
          <w:color w:val="auto"/>
          <w:sz w:val="24"/>
          <w:szCs w:val="24"/>
          <w:highlight w:val="none"/>
          <w:lang w:val="en-US" w:eastAsia="zh-CN"/>
        </w:rPr>
        <w:t>成果提交</w:t>
      </w:r>
      <w:r>
        <w:rPr>
          <w:rFonts w:hint="eastAsia" w:ascii="宋体" w:hAnsi="宋体" w:cs="宋体"/>
          <w:color w:val="auto"/>
          <w:sz w:val="24"/>
          <w:szCs w:val="24"/>
          <w:highlight w:val="none"/>
          <w:lang w:val="zh-CN"/>
        </w:rPr>
        <w:t>。</w:t>
      </w:r>
    </w:p>
    <w:p>
      <w:pPr>
        <w:spacing w:line="360" w:lineRule="auto"/>
        <w:ind w:left="105" w:leftChars="50" w:firstLine="480" w:firstLineChars="200"/>
        <w:rPr>
          <w:rFonts w:ascii="宋体" w:hAnsi="宋体"/>
          <w:color w:val="auto"/>
          <w:sz w:val="24"/>
          <w:szCs w:val="24"/>
          <w:highlight w:val="none"/>
        </w:rPr>
      </w:pPr>
      <w:r>
        <w:rPr>
          <w:rFonts w:hint="eastAsia" w:ascii="宋体" w:hAnsi="宋体"/>
          <w:color w:val="auto"/>
          <w:sz w:val="24"/>
          <w:szCs w:val="24"/>
          <w:highlight w:val="none"/>
        </w:rPr>
        <w:t>注：原则上设计单位总设计周期应配合业主需求的建议设计周期。如特殊原因时间有所调整，以业主确认的最终时间为准。</w:t>
      </w:r>
    </w:p>
    <w:p>
      <w:pPr>
        <w:spacing w:line="360" w:lineRule="auto"/>
        <w:ind w:firstLine="562" w:firstLineChars="200"/>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lang w:val="en-US" w:eastAsia="zh-CN"/>
        </w:rPr>
        <w:t>4.3</w:t>
      </w:r>
      <w:r>
        <w:rPr>
          <w:rFonts w:hint="eastAsia" w:asciiTheme="minorEastAsia" w:hAnsiTheme="minorEastAsia"/>
          <w:b/>
          <w:color w:val="auto"/>
          <w:sz w:val="28"/>
          <w:szCs w:val="28"/>
          <w:highlight w:val="none"/>
        </w:rPr>
        <w:t>施工阶段及验收配合工作</w:t>
      </w:r>
    </w:p>
    <w:p>
      <w:pPr>
        <w:pStyle w:val="40"/>
        <w:spacing w:line="520" w:lineRule="exact"/>
        <w:ind w:left="275" w:leftChars="131"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配合开展前期报建报批、方案审查、设计图纸评审、概算评审、施工图审查及备案（含节能、绿建、人防）、消防审查，以及从开工至项目竣工验收的现场服务、配合完成工程验收；在项目</w:t>
      </w:r>
      <w:r>
        <w:rPr>
          <w:rFonts w:hint="eastAsia" w:ascii="宋体" w:hAnsi="宋体"/>
          <w:color w:val="auto"/>
          <w:sz w:val="24"/>
          <w:szCs w:val="24"/>
          <w:highlight w:val="none"/>
          <w:lang w:val="en-US" w:eastAsia="zh-CN"/>
        </w:rPr>
        <w:t>各</w:t>
      </w:r>
      <w:r>
        <w:rPr>
          <w:rFonts w:hint="eastAsia" w:ascii="宋体" w:hAnsi="宋体"/>
          <w:color w:val="auto"/>
          <w:sz w:val="24"/>
          <w:szCs w:val="24"/>
          <w:highlight w:val="none"/>
        </w:rPr>
        <w:t>阶段满足建设单位报批各种手续的要求，分阶段提供所需的设计文件；</w:t>
      </w:r>
    </w:p>
    <w:p>
      <w:pPr>
        <w:pStyle w:val="40"/>
        <w:spacing w:line="520" w:lineRule="exact"/>
        <w:ind w:left="275" w:leftChars="131"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.海绵城市建设要求：满足规划设计条件和当地水务主管部门要求；</w:t>
      </w:r>
    </w:p>
    <w:p>
      <w:pPr>
        <w:pStyle w:val="40"/>
        <w:spacing w:line="520" w:lineRule="exact"/>
        <w:ind w:left="275" w:leftChars="131"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r>
        <w:rPr>
          <w:rFonts w:ascii="宋体" w:hAnsi="宋体"/>
          <w:color w:val="auto"/>
          <w:sz w:val="24"/>
          <w:szCs w:val="24"/>
          <w:highlight w:val="none"/>
        </w:rPr>
        <w:t>.</w:t>
      </w:r>
      <w:r>
        <w:rPr>
          <w:rFonts w:hint="eastAsia" w:ascii="宋体" w:hAnsi="宋体"/>
          <w:color w:val="auto"/>
          <w:sz w:val="24"/>
          <w:szCs w:val="24"/>
          <w:highlight w:val="none"/>
        </w:rPr>
        <w:t>配合完成</w:t>
      </w:r>
      <w:r>
        <w:rPr>
          <w:rFonts w:hint="eastAsia" w:ascii="宋体" w:hAnsi="宋体"/>
          <w:color w:val="auto"/>
          <w:sz w:val="24"/>
          <w:szCs w:val="24"/>
          <w:highlight w:val="none"/>
          <w:lang w:eastAsia="zh-CN"/>
        </w:rPr>
        <w:t>绿色建筑要求：</w:t>
      </w:r>
      <w:r>
        <w:rPr>
          <w:rFonts w:hint="eastAsia" w:ascii="宋体" w:hAnsi="宋体"/>
          <w:color w:val="auto"/>
          <w:sz w:val="24"/>
          <w:szCs w:val="24"/>
          <w:highlight w:val="none"/>
        </w:rPr>
        <w:t>满足规划设计条件和当地</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主管部门要求</w:t>
      </w:r>
      <w:r>
        <w:rPr>
          <w:rFonts w:hint="eastAsia" w:ascii="宋体" w:hAnsi="宋体"/>
          <w:color w:val="auto"/>
          <w:sz w:val="24"/>
          <w:szCs w:val="24"/>
          <w:highlight w:val="none"/>
          <w:lang w:eastAsia="zh-CN"/>
        </w:rPr>
        <w:t>；</w:t>
      </w:r>
    </w:p>
    <w:p>
      <w:pPr>
        <w:pStyle w:val="40"/>
        <w:spacing w:line="520" w:lineRule="exact"/>
        <w:ind w:left="275" w:leftChars="131"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r>
        <w:rPr>
          <w:rFonts w:ascii="宋体" w:hAnsi="宋体"/>
          <w:color w:val="auto"/>
          <w:sz w:val="24"/>
          <w:szCs w:val="24"/>
          <w:highlight w:val="none"/>
        </w:rPr>
        <w:t>.</w:t>
      </w:r>
      <w:r>
        <w:rPr>
          <w:rFonts w:hint="eastAsia" w:ascii="宋体" w:hAnsi="宋体"/>
          <w:color w:val="auto"/>
          <w:sz w:val="24"/>
          <w:szCs w:val="24"/>
          <w:highlight w:val="none"/>
        </w:rPr>
        <w:t>负责设计文件的技术交底并参与图纸会审</w:t>
      </w:r>
      <w:r>
        <w:rPr>
          <w:rFonts w:hint="eastAsia" w:ascii="宋体" w:hAnsi="宋体"/>
          <w:color w:val="auto"/>
          <w:sz w:val="24"/>
          <w:szCs w:val="24"/>
          <w:highlight w:val="none"/>
          <w:lang w:eastAsia="zh-CN"/>
        </w:rPr>
        <w:t>。</w:t>
      </w:r>
    </w:p>
    <w:p>
      <w:pPr>
        <w:pStyle w:val="40"/>
        <w:spacing w:line="520" w:lineRule="exact"/>
        <w:ind w:left="275" w:leftChars="131" w:firstLine="480"/>
        <w:rPr>
          <w:rFonts w:ascii="宋体" w:hAnsi="宋体"/>
          <w:b/>
          <w:bCs/>
          <w:color w:val="auto"/>
          <w:sz w:val="28"/>
          <w:szCs w:val="21"/>
          <w:highlight w:val="none"/>
        </w:rPr>
      </w:pPr>
      <w:r>
        <w:rPr>
          <w:rFonts w:hint="eastAsia" w:ascii="宋体" w:hAnsi="宋体"/>
          <w:b/>
          <w:bCs/>
          <w:color w:val="auto"/>
          <w:sz w:val="28"/>
          <w:szCs w:val="21"/>
          <w:highlight w:val="none"/>
          <w:lang w:val="en-US" w:eastAsia="zh-CN"/>
        </w:rPr>
        <w:t>4.4</w:t>
      </w:r>
      <w:r>
        <w:rPr>
          <w:rFonts w:hint="eastAsia" w:ascii="宋体" w:hAnsi="宋体"/>
          <w:b/>
          <w:bCs/>
          <w:color w:val="auto"/>
          <w:sz w:val="28"/>
          <w:szCs w:val="21"/>
          <w:highlight w:val="none"/>
        </w:rPr>
        <w:t>限额设计专篇</w:t>
      </w:r>
    </w:p>
    <w:p>
      <w:pPr>
        <w:pStyle w:val="40"/>
        <w:spacing w:line="520" w:lineRule="exact"/>
        <w:ind w:left="275" w:leftChars="131" w:firstLine="480"/>
        <w:rPr>
          <w:rFonts w:ascii="宋体" w:hAnsi="宋体"/>
          <w:color w:val="auto"/>
          <w:sz w:val="24"/>
          <w:highlight w:val="none"/>
        </w:rPr>
      </w:pPr>
      <w:r>
        <w:rPr>
          <w:rFonts w:hint="eastAsia" w:ascii="宋体" w:hAnsi="宋体"/>
          <w:color w:val="auto"/>
          <w:sz w:val="24"/>
          <w:highlight w:val="none"/>
        </w:rPr>
        <w:t>1、本工程项目投资必须按照建设单位及相关行政主管部门要求的投资限额要求严格控制。建设单位据此制定投资分解目标，实行限额设计。在保证设计质量的前提下，设计单位应按投资限额进行设计，严格控制施工图设计的变更，确保工程概、预算不突破限额目标。</w:t>
      </w:r>
    </w:p>
    <w:p>
      <w:pPr>
        <w:pStyle w:val="40"/>
        <w:spacing w:line="520" w:lineRule="exact"/>
        <w:ind w:left="275" w:leftChars="131" w:firstLine="480"/>
        <w:rPr>
          <w:rFonts w:ascii="宋体" w:hAnsi="宋体"/>
          <w:color w:val="auto"/>
          <w:sz w:val="24"/>
          <w:highlight w:val="none"/>
        </w:rPr>
      </w:pPr>
      <w:r>
        <w:rPr>
          <w:rFonts w:hint="eastAsia" w:ascii="宋体" w:hAnsi="宋体"/>
          <w:color w:val="auto"/>
          <w:sz w:val="24"/>
          <w:highlight w:val="none"/>
        </w:rPr>
        <w:t>2、设计单位应遵循功能适用、标准合理、经济合理的原则开展设计，在投资限额目标的基础上结合项目设计内容进一步分解投资，明确投资控制主要目标，在编制设计概、预算时逐步细化落实。</w:t>
      </w:r>
    </w:p>
    <w:p>
      <w:pPr>
        <w:pStyle w:val="40"/>
        <w:spacing w:line="520" w:lineRule="exact"/>
        <w:ind w:left="275" w:leftChars="131" w:firstLine="480"/>
        <w:rPr>
          <w:rFonts w:ascii="宋体" w:hAnsi="宋体"/>
          <w:color w:val="auto"/>
          <w:sz w:val="24"/>
          <w:highlight w:val="none"/>
        </w:rPr>
      </w:pPr>
      <w:r>
        <w:rPr>
          <w:rFonts w:hint="eastAsia" w:ascii="宋体" w:hAnsi="宋体"/>
          <w:color w:val="auto"/>
          <w:sz w:val="24"/>
          <w:highlight w:val="none"/>
        </w:rPr>
        <w:t>3、设计单位应在设计进展过程中及阶段设计完成时，及时对已经完成的图纸内容进行估价，并与限额设计指标进行比较，使设计满足限额设计指标的要求。</w:t>
      </w:r>
    </w:p>
    <w:p>
      <w:pPr>
        <w:pStyle w:val="40"/>
        <w:spacing w:line="520" w:lineRule="exact"/>
        <w:ind w:left="275" w:leftChars="131" w:firstLine="480"/>
        <w:rPr>
          <w:rFonts w:hint="eastAsia" w:ascii="宋体" w:hAnsi="宋体"/>
          <w:color w:val="auto"/>
          <w:sz w:val="24"/>
          <w:highlight w:val="none"/>
        </w:rPr>
      </w:pPr>
      <w:r>
        <w:rPr>
          <w:rFonts w:hint="eastAsia" w:ascii="宋体" w:hAnsi="宋体"/>
          <w:color w:val="auto"/>
          <w:sz w:val="24"/>
          <w:highlight w:val="none"/>
        </w:rPr>
        <w:t>4、设计预算超过限额，应配合建设单位要求无偿重新调整或修改设计直至满足限额要求。</w:t>
      </w:r>
      <w:bookmarkEnd w:id="0"/>
      <w:bookmarkEnd w:id="119"/>
      <w:bookmarkEnd w:id="120"/>
      <w:bookmarkEnd w:id="121"/>
      <w:bookmarkEnd w:id="122"/>
      <w:bookmarkEnd w:id="123"/>
      <w:bookmarkEnd w:id="124"/>
    </w:p>
    <w:sectPr>
      <w:headerReference r:id="rId5" w:type="default"/>
      <w:footerReference r:id="rId6" w:type="default"/>
      <w:footnotePr>
        <w:numRestart w:val="eachPage"/>
      </w:footnote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4"/>
                            <w:jc w:val="center"/>
                          </w:pP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lfknQAAAAAwEAAA8AAAAAAAAAAQAgAAAAOAAAAGRycy9kb3ducmV2&#10;LnhtbFBLAQIUABQAAAAIAIdO4kAIRBQktQEAAEwDAAAOAAAAAAAAAAEAIAAAADUBAABkcnMvZTJv&#10;RG9jLnhtbFBLBQYAAAAABgAGAFkBAABcBQAAAAA=&#10;">
              <v:fill on="f" focussize="0,0"/>
              <v:stroke on="f"/>
              <v:imagedata o:title=""/>
              <o:lock v:ext="edit" aspectratio="f"/>
              <v:textbox inset="0mm,0mm,0mm,0mm" style="mso-fit-shape-to-text:t;">
                <w:txbxContent>
                  <w:p>
                    <w:pPr>
                      <w:pStyle w:val="14"/>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Pi91E0AAAAAIBAAAPAAAAAAAAAAEAIAAAADgAAABkcnMvZG93bnJl&#10;di54bWxQSwECFAAUAAAACACHTuJAIvTBGbYBAABLAwAADgAAAAAAAAABACAAAAA1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15</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Qe10z0AAAAAMBAAAPAAAAAAAAAAEAIAAAADgAAABkcnMvZG93bnJldi54&#10;bWxQSwECFAAUAAAACACHTuJA8kJjMbMBAABJAwAADgAAAAAAAAABACAAAAA1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B7DBC"/>
    <w:multiLevelType w:val="multilevel"/>
    <w:tmpl w:val="11AB7DB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DMwZjI2ZDk1MGFiNzg2N2IyM2ZjMDIzNzI0ZjAifQ=="/>
  </w:docVars>
  <w:rsids>
    <w:rsidRoot w:val="00383376"/>
    <w:rsid w:val="0005470B"/>
    <w:rsid w:val="00075989"/>
    <w:rsid w:val="000B4BCC"/>
    <w:rsid w:val="000C1BB6"/>
    <w:rsid w:val="000D709C"/>
    <w:rsid w:val="000F07E8"/>
    <w:rsid w:val="00101AE9"/>
    <w:rsid w:val="001356A8"/>
    <w:rsid w:val="001559D5"/>
    <w:rsid w:val="0015658A"/>
    <w:rsid w:val="00191284"/>
    <w:rsid w:val="00194383"/>
    <w:rsid w:val="001B1C72"/>
    <w:rsid w:val="001E22EB"/>
    <w:rsid w:val="001E4E1C"/>
    <w:rsid w:val="001F5C41"/>
    <w:rsid w:val="00206CB5"/>
    <w:rsid w:val="00222570"/>
    <w:rsid w:val="00233B7D"/>
    <w:rsid w:val="00240919"/>
    <w:rsid w:val="00255567"/>
    <w:rsid w:val="00262676"/>
    <w:rsid w:val="002672B7"/>
    <w:rsid w:val="00270BE1"/>
    <w:rsid w:val="002844C2"/>
    <w:rsid w:val="002935E3"/>
    <w:rsid w:val="002A74CA"/>
    <w:rsid w:val="002D453F"/>
    <w:rsid w:val="002D790F"/>
    <w:rsid w:val="002F5EBD"/>
    <w:rsid w:val="0030064D"/>
    <w:rsid w:val="00307C59"/>
    <w:rsid w:val="00316D8F"/>
    <w:rsid w:val="003247B5"/>
    <w:rsid w:val="0036390C"/>
    <w:rsid w:val="00377F0F"/>
    <w:rsid w:val="00383376"/>
    <w:rsid w:val="003D18D3"/>
    <w:rsid w:val="003D20CA"/>
    <w:rsid w:val="003E131C"/>
    <w:rsid w:val="003F6532"/>
    <w:rsid w:val="00421C57"/>
    <w:rsid w:val="00425040"/>
    <w:rsid w:val="004874D5"/>
    <w:rsid w:val="004A401D"/>
    <w:rsid w:val="004A76CD"/>
    <w:rsid w:val="004B2B21"/>
    <w:rsid w:val="004C02C6"/>
    <w:rsid w:val="004C6D42"/>
    <w:rsid w:val="004D2B9C"/>
    <w:rsid w:val="004E31BC"/>
    <w:rsid w:val="004F51AB"/>
    <w:rsid w:val="00500354"/>
    <w:rsid w:val="00502C62"/>
    <w:rsid w:val="0051316A"/>
    <w:rsid w:val="00513843"/>
    <w:rsid w:val="0051420B"/>
    <w:rsid w:val="00557048"/>
    <w:rsid w:val="00566532"/>
    <w:rsid w:val="00572534"/>
    <w:rsid w:val="0058781D"/>
    <w:rsid w:val="005D7386"/>
    <w:rsid w:val="005E0793"/>
    <w:rsid w:val="005E7A94"/>
    <w:rsid w:val="005F0A9F"/>
    <w:rsid w:val="005F1164"/>
    <w:rsid w:val="005F566D"/>
    <w:rsid w:val="00626BDE"/>
    <w:rsid w:val="00642B72"/>
    <w:rsid w:val="00646CEF"/>
    <w:rsid w:val="006501C3"/>
    <w:rsid w:val="006763CD"/>
    <w:rsid w:val="006934D3"/>
    <w:rsid w:val="006B137B"/>
    <w:rsid w:val="006D2AB9"/>
    <w:rsid w:val="006D600D"/>
    <w:rsid w:val="006F21FD"/>
    <w:rsid w:val="006F2F23"/>
    <w:rsid w:val="007271FD"/>
    <w:rsid w:val="00744F86"/>
    <w:rsid w:val="00771FF9"/>
    <w:rsid w:val="007723E3"/>
    <w:rsid w:val="00772F12"/>
    <w:rsid w:val="007A1E3B"/>
    <w:rsid w:val="007A45D9"/>
    <w:rsid w:val="007D77D0"/>
    <w:rsid w:val="008A3A9D"/>
    <w:rsid w:val="008B4D4A"/>
    <w:rsid w:val="008D138C"/>
    <w:rsid w:val="008D552B"/>
    <w:rsid w:val="008E59C5"/>
    <w:rsid w:val="008F18E0"/>
    <w:rsid w:val="00903309"/>
    <w:rsid w:val="009209DE"/>
    <w:rsid w:val="00924C18"/>
    <w:rsid w:val="0094259D"/>
    <w:rsid w:val="0096075F"/>
    <w:rsid w:val="009A0351"/>
    <w:rsid w:val="009A18B9"/>
    <w:rsid w:val="009B0684"/>
    <w:rsid w:val="009B58D2"/>
    <w:rsid w:val="009D7BDC"/>
    <w:rsid w:val="009F4822"/>
    <w:rsid w:val="00A05F82"/>
    <w:rsid w:val="00A32514"/>
    <w:rsid w:val="00A522EF"/>
    <w:rsid w:val="00A73991"/>
    <w:rsid w:val="00A83210"/>
    <w:rsid w:val="00AA49AF"/>
    <w:rsid w:val="00AD1435"/>
    <w:rsid w:val="00AE6D2E"/>
    <w:rsid w:val="00AF055C"/>
    <w:rsid w:val="00B0721A"/>
    <w:rsid w:val="00B30C58"/>
    <w:rsid w:val="00B577F1"/>
    <w:rsid w:val="00B84C10"/>
    <w:rsid w:val="00B861F5"/>
    <w:rsid w:val="00BB13F7"/>
    <w:rsid w:val="00BB2E62"/>
    <w:rsid w:val="00BC2817"/>
    <w:rsid w:val="00C23B41"/>
    <w:rsid w:val="00C37675"/>
    <w:rsid w:val="00C46913"/>
    <w:rsid w:val="00C53A44"/>
    <w:rsid w:val="00C947C6"/>
    <w:rsid w:val="00CB495B"/>
    <w:rsid w:val="00CE2E6F"/>
    <w:rsid w:val="00D0546F"/>
    <w:rsid w:val="00D144A6"/>
    <w:rsid w:val="00D26809"/>
    <w:rsid w:val="00D32139"/>
    <w:rsid w:val="00D71435"/>
    <w:rsid w:val="00D872CE"/>
    <w:rsid w:val="00D91A55"/>
    <w:rsid w:val="00DA554B"/>
    <w:rsid w:val="00DA5DF6"/>
    <w:rsid w:val="00DE2B10"/>
    <w:rsid w:val="00E45178"/>
    <w:rsid w:val="00E745BD"/>
    <w:rsid w:val="00EE24B3"/>
    <w:rsid w:val="00F03CF4"/>
    <w:rsid w:val="00F30EE9"/>
    <w:rsid w:val="00F35480"/>
    <w:rsid w:val="00F95A41"/>
    <w:rsid w:val="00FA17A9"/>
    <w:rsid w:val="00FA7414"/>
    <w:rsid w:val="00FA75C2"/>
    <w:rsid w:val="00FA798F"/>
    <w:rsid w:val="00FB01FA"/>
    <w:rsid w:val="00FB0D11"/>
    <w:rsid w:val="00FB1306"/>
    <w:rsid w:val="020E70B7"/>
    <w:rsid w:val="02B01361"/>
    <w:rsid w:val="02C95F7F"/>
    <w:rsid w:val="03257276"/>
    <w:rsid w:val="034D6BB0"/>
    <w:rsid w:val="034F2928"/>
    <w:rsid w:val="038E2399"/>
    <w:rsid w:val="03B62514"/>
    <w:rsid w:val="03C2786D"/>
    <w:rsid w:val="03F430D6"/>
    <w:rsid w:val="04277007"/>
    <w:rsid w:val="045556A5"/>
    <w:rsid w:val="045B44B4"/>
    <w:rsid w:val="050414F1"/>
    <w:rsid w:val="050C59AA"/>
    <w:rsid w:val="05340028"/>
    <w:rsid w:val="053E2C54"/>
    <w:rsid w:val="0546273C"/>
    <w:rsid w:val="05634469"/>
    <w:rsid w:val="057E12A3"/>
    <w:rsid w:val="05B37B91"/>
    <w:rsid w:val="05C869C2"/>
    <w:rsid w:val="05FC3F94"/>
    <w:rsid w:val="063D2F0C"/>
    <w:rsid w:val="0664493D"/>
    <w:rsid w:val="066761DB"/>
    <w:rsid w:val="06BA455D"/>
    <w:rsid w:val="06D82B8E"/>
    <w:rsid w:val="06EC1C04"/>
    <w:rsid w:val="06F07F7E"/>
    <w:rsid w:val="07215F0A"/>
    <w:rsid w:val="07397B77"/>
    <w:rsid w:val="07524795"/>
    <w:rsid w:val="077704E7"/>
    <w:rsid w:val="07AF7E3A"/>
    <w:rsid w:val="07B92A66"/>
    <w:rsid w:val="07E55609"/>
    <w:rsid w:val="08591544"/>
    <w:rsid w:val="08C23B9D"/>
    <w:rsid w:val="08CF668A"/>
    <w:rsid w:val="08FC1C15"/>
    <w:rsid w:val="096B1B3E"/>
    <w:rsid w:val="09D73678"/>
    <w:rsid w:val="0A2223A9"/>
    <w:rsid w:val="0A326B00"/>
    <w:rsid w:val="0AB16505"/>
    <w:rsid w:val="0ACB373B"/>
    <w:rsid w:val="0B7550AB"/>
    <w:rsid w:val="0B7C44D7"/>
    <w:rsid w:val="0C262141"/>
    <w:rsid w:val="0C434FF4"/>
    <w:rsid w:val="0C724227"/>
    <w:rsid w:val="0CC51EAD"/>
    <w:rsid w:val="0CD914B5"/>
    <w:rsid w:val="0CE54DE1"/>
    <w:rsid w:val="0D5B47C8"/>
    <w:rsid w:val="0D841421"/>
    <w:rsid w:val="0DA60A0B"/>
    <w:rsid w:val="0DCD1019"/>
    <w:rsid w:val="0DDD69B2"/>
    <w:rsid w:val="0E6C0832"/>
    <w:rsid w:val="0EB43F87"/>
    <w:rsid w:val="0F423341"/>
    <w:rsid w:val="0F5F5CA1"/>
    <w:rsid w:val="0F81030D"/>
    <w:rsid w:val="0F841BAC"/>
    <w:rsid w:val="0FC45A30"/>
    <w:rsid w:val="113E4165"/>
    <w:rsid w:val="119555A6"/>
    <w:rsid w:val="11A2456B"/>
    <w:rsid w:val="122F12D4"/>
    <w:rsid w:val="123734F1"/>
    <w:rsid w:val="12631F4C"/>
    <w:rsid w:val="12C0114D"/>
    <w:rsid w:val="12CC7AF2"/>
    <w:rsid w:val="12D20E80"/>
    <w:rsid w:val="12F36C1D"/>
    <w:rsid w:val="134F427F"/>
    <w:rsid w:val="13A24CF6"/>
    <w:rsid w:val="13B862C8"/>
    <w:rsid w:val="13E209A2"/>
    <w:rsid w:val="140F52E3"/>
    <w:rsid w:val="142E0338"/>
    <w:rsid w:val="14477E86"/>
    <w:rsid w:val="148D32B1"/>
    <w:rsid w:val="14D07641"/>
    <w:rsid w:val="150115A9"/>
    <w:rsid w:val="15A703A2"/>
    <w:rsid w:val="15D62A35"/>
    <w:rsid w:val="15E34B6A"/>
    <w:rsid w:val="16646293"/>
    <w:rsid w:val="1685057A"/>
    <w:rsid w:val="168C6E87"/>
    <w:rsid w:val="16946B78"/>
    <w:rsid w:val="16B173EC"/>
    <w:rsid w:val="16C136E5"/>
    <w:rsid w:val="16DA0303"/>
    <w:rsid w:val="16F70D59"/>
    <w:rsid w:val="1770105C"/>
    <w:rsid w:val="17AD0510"/>
    <w:rsid w:val="17EC0390"/>
    <w:rsid w:val="18027B12"/>
    <w:rsid w:val="180B441C"/>
    <w:rsid w:val="181D0DEF"/>
    <w:rsid w:val="183F0D66"/>
    <w:rsid w:val="185F6D12"/>
    <w:rsid w:val="18804292"/>
    <w:rsid w:val="18972950"/>
    <w:rsid w:val="18CD45C3"/>
    <w:rsid w:val="193E726F"/>
    <w:rsid w:val="19960E59"/>
    <w:rsid w:val="19FC27FD"/>
    <w:rsid w:val="1A8C7B66"/>
    <w:rsid w:val="1A9C3221"/>
    <w:rsid w:val="1B740D26"/>
    <w:rsid w:val="1B9375C5"/>
    <w:rsid w:val="1B950C9D"/>
    <w:rsid w:val="1C355AD6"/>
    <w:rsid w:val="1C6D254B"/>
    <w:rsid w:val="1CF137A1"/>
    <w:rsid w:val="1D0445AC"/>
    <w:rsid w:val="1D1A76AB"/>
    <w:rsid w:val="1D596426"/>
    <w:rsid w:val="1D7B27EE"/>
    <w:rsid w:val="1DE859FC"/>
    <w:rsid w:val="1E0565AE"/>
    <w:rsid w:val="1E371367"/>
    <w:rsid w:val="1EA55ECC"/>
    <w:rsid w:val="1EC27FFB"/>
    <w:rsid w:val="1EC556A3"/>
    <w:rsid w:val="1EDF2066"/>
    <w:rsid w:val="1EFC175F"/>
    <w:rsid w:val="1F3E3886"/>
    <w:rsid w:val="1F4D1FBA"/>
    <w:rsid w:val="1F666B5C"/>
    <w:rsid w:val="1FB33663"/>
    <w:rsid w:val="1FBD559A"/>
    <w:rsid w:val="200A1C59"/>
    <w:rsid w:val="20743577"/>
    <w:rsid w:val="207A4492"/>
    <w:rsid w:val="20A43E5C"/>
    <w:rsid w:val="21886524"/>
    <w:rsid w:val="21E64000"/>
    <w:rsid w:val="21F04E7F"/>
    <w:rsid w:val="221F0585"/>
    <w:rsid w:val="22302057"/>
    <w:rsid w:val="223C7605"/>
    <w:rsid w:val="2241392C"/>
    <w:rsid w:val="22920C8E"/>
    <w:rsid w:val="23045086"/>
    <w:rsid w:val="231A0405"/>
    <w:rsid w:val="23425BAE"/>
    <w:rsid w:val="240E09CF"/>
    <w:rsid w:val="243472A5"/>
    <w:rsid w:val="24460E8E"/>
    <w:rsid w:val="248F4E23"/>
    <w:rsid w:val="24A85EE5"/>
    <w:rsid w:val="2544440F"/>
    <w:rsid w:val="25E04A4A"/>
    <w:rsid w:val="25E22D30"/>
    <w:rsid w:val="263E4BA6"/>
    <w:rsid w:val="276205CD"/>
    <w:rsid w:val="27677991"/>
    <w:rsid w:val="276F6846"/>
    <w:rsid w:val="27BD3A55"/>
    <w:rsid w:val="283755B5"/>
    <w:rsid w:val="28772BE3"/>
    <w:rsid w:val="28A6098D"/>
    <w:rsid w:val="28DB0637"/>
    <w:rsid w:val="28E21F0E"/>
    <w:rsid w:val="2919513E"/>
    <w:rsid w:val="29253660"/>
    <w:rsid w:val="296A19BB"/>
    <w:rsid w:val="296A6E11"/>
    <w:rsid w:val="2992077C"/>
    <w:rsid w:val="29CB06AB"/>
    <w:rsid w:val="2A426494"/>
    <w:rsid w:val="2A4C06B4"/>
    <w:rsid w:val="2AB92917"/>
    <w:rsid w:val="2AE27039"/>
    <w:rsid w:val="2B2D0EF2"/>
    <w:rsid w:val="2B42499D"/>
    <w:rsid w:val="2B603075"/>
    <w:rsid w:val="2B996ED4"/>
    <w:rsid w:val="2BC31377"/>
    <w:rsid w:val="2BD95644"/>
    <w:rsid w:val="2BDC01AF"/>
    <w:rsid w:val="2C013B28"/>
    <w:rsid w:val="2C515B49"/>
    <w:rsid w:val="2C8114F5"/>
    <w:rsid w:val="2CCE2260"/>
    <w:rsid w:val="2D3E1194"/>
    <w:rsid w:val="2D5C786C"/>
    <w:rsid w:val="2DC07DFB"/>
    <w:rsid w:val="2DFE672E"/>
    <w:rsid w:val="2E2A39C5"/>
    <w:rsid w:val="2E5549E7"/>
    <w:rsid w:val="2EA67D22"/>
    <w:rsid w:val="2FBB13BE"/>
    <w:rsid w:val="30247876"/>
    <w:rsid w:val="304E348C"/>
    <w:rsid w:val="30FA3FE0"/>
    <w:rsid w:val="3178463A"/>
    <w:rsid w:val="31980F1E"/>
    <w:rsid w:val="32132BEF"/>
    <w:rsid w:val="32371C2C"/>
    <w:rsid w:val="32544E3E"/>
    <w:rsid w:val="329C5C14"/>
    <w:rsid w:val="32B36180"/>
    <w:rsid w:val="32CE3A0E"/>
    <w:rsid w:val="32FB6013"/>
    <w:rsid w:val="336B6A5B"/>
    <w:rsid w:val="33AD0E22"/>
    <w:rsid w:val="34237707"/>
    <w:rsid w:val="34761214"/>
    <w:rsid w:val="34DB19BE"/>
    <w:rsid w:val="3518676F"/>
    <w:rsid w:val="35397FA2"/>
    <w:rsid w:val="35FC7E3E"/>
    <w:rsid w:val="361231BE"/>
    <w:rsid w:val="36251143"/>
    <w:rsid w:val="36981915"/>
    <w:rsid w:val="36E903C3"/>
    <w:rsid w:val="37014EF7"/>
    <w:rsid w:val="373F42B8"/>
    <w:rsid w:val="378B1568"/>
    <w:rsid w:val="37BE184F"/>
    <w:rsid w:val="37DE3C9F"/>
    <w:rsid w:val="37E01F8B"/>
    <w:rsid w:val="381C0324"/>
    <w:rsid w:val="381C4571"/>
    <w:rsid w:val="38DE55D9"/>
    <w:rsid w:val="391B4A7F"/>
    <w:rsid w:val="39C24EFB"/>
    <w:rsid w:val="39CE1AF2"/>
    <w:rsid w:val="39DF6D06"/>
    <w:rsid w:val="3A7C154E"/>
    <w:rsid w:val="3AD44EE6"/>
    <w:rsid w:val="3B381919"/>
    <w:rsid w:val="3BB16FD5"/>
    <w:rsid w:val="3BC767F9"/>
    <w:rsid w:val="3BCB78B0"/>
    <w:rsid w:val="3C2809AC"/>
    <w:rsid w:val="3C443F32"/>
    <w:rsid w:val="3C4E4514"/>
    <w:rsid w:val="3C814BF9"/>
    <w:rsid w:val="3C8F5568"/>
    <w:rsid w:val="3CE77094"/>
    <w:rsid w:val="3D007A06"/>
    <w:rsid w:val="3D1E68EC"/>
    <w:rsid w:val="3D9F74E9"/>
    <w:rsid w:val="3D9F7A2D"/>
    <w:rsid w:val="3DD87D77"/>
    <w:rsid w:val="3DFD29A6"/>
    <w:rsid w:val="3E263CAA"/>
    <w:rsid w:val="3EA00A69"/>
    <w:rsid w:val="3EBE292A"/>
    <w:rsid w:val="3ED02234"/>
    <w:rsid w:val="3EDF02B4"/>
    <w:rsid w:val="3F7E1A42"/>
    <w:rsid w:val="3F95733A"/>
    <w:rsid w:val="3F9633AC"/>
    <w:rsid w:val="3FEF631E"/>
    <w:rsid w:val="40584CBF"/>
    <w:rsid w:val="40D93256"/>
    <w:rsid w:val="417E7959"/>
    <w:rsid w:val="41EB69EF"/>
    <w:rsid w:val="424C5CAA"/>
    <w:rsid w:val="438976E2"/>
    <w:rsid w:val="43E048FB"/>
    <w:rsid w:val="441478CB"/>
    <w:rsid w:val="44223A9C"/>
    <w:rsid w:val="444E7AB7"/>
    <w:rsid w:val="44511355"/>
    <w:rsid w:val="44B87626"/>
    <w:rsid w:val="44CE0B9A"/>
    <w:rsid w:val="45107462"/>
    <w:rsid w:val="451A208F"/>
    <w:rsid w:val="451E392D"/>
    <w:rsid w:val="45393D34"/>
    <w:rsid w:val="45A94956"/>
    <w:rsid w:val="45E46ABB"/>
    <w:rsid w:val="465810C1"/>
    <w:rsid w:val="4665733A"/>
    <w:rsid w:val="46D30747"/>
    <w:rsid w:val="47044DA5"/>
    <w:rsid w:val="47501D98"/>
    <w:rsid w:val="477203DF"/>
    <w:rsid w:val="479D3B83"/>
    <w:rsid w:val="481D17A2"/>
    <w:rsid w:val="481D611E"/>
    <w:rsid w:val="48D57C7F"/>
    <w:rsid w:val="491D214E"/>
    <w:rsid w:val="494E2307"/>
    <w:rsid w:val="49696CFA"/>
    <w:rsid w:val="49902920"/>
    <w:rsid w:val="499E1C7D"/>
    <w:rsid w:val="4A050C18"/>
    <w:rsid w:val="4A0D5D1E"/>
    <w:rsid w:val="4A456798"/>
    <w:rsid w:val="4A743FEF"/>
    <w:rsid w:val="4A7E09CA"/>
    <w:rsid w:val="4B2330BA"/>
    <w:rsid w:val="4B9B5282"/>
    <w:rsid w:val="4BFA22D2"/>
    <w:rsid w:val="4C3F21DA"/>
    <w:rsid w:val="4C8D1398"/>
    <w:rsid w:val="4C905D93"/>
    <w:rsid w:val="4C997D3D"/>
    <w:rsid w:val="4CC41C4C"/>
    <w:rsid w:val="4D6E4D26"/>
    <w:rsid w:val="4DC744E1"/>
    <w:rsid w:val="4DF94F37"/>
    <w:rsid w:val="4E0E2ABE"/>
    <w:rsid w:val="4E5006D8"/>
    <w:rsid w:val="4EA74993"/>
    <w:rsid w:val="4EAD7AD0"/>
    <w:rsid w:val="4EB56C3B"/>
    <w:rsid w:val="4EC8490A"/>
    <w:rsid w:val="4EE554BC"/>
    <w:rsid w:val="4F1D2EA8"/>
    <w:rsid w:val="4F974A08"/>
    <w:rsid w:val="4FB21842"/>
    <w:rsid w:val="4FB37368"/>
    <w:rsid w:val="501E0C85"/>
    <w:rsid w:val="50655046"/>
    <w:rsid w:val="50C3182D"/>
    <w:rsid w:val="5108493A"/>
    <w:rsid w:val="51167BAE"/>
    <w:rsid w:val="51683314"/>
    <w:rsid w:val="51782BA1"/>
    <w:rsid w:val="517D5E7F"/>
    <w:rsid w:val="51931E30"/>
    <w:rsid w:val="51A46F68"/>
    <w:rsid w:val="51C23892"/>
    <w:rsid w:val="51E25CD0"/>
    <w:rsid w:val="52522E68"/>
    <w:rsid w:val="525E180D"/>
    <w:rsid w:val="52974D1F"/>
    <w:rsid w:val="532A2606"/>
    <w:rsid w:val="532C36B9"/>
    <w:rsid w:val="53C538F4"/>
    <w:rsid w:val="54590A95"/>
    <w:rsid w:val="549C486F"/>
    <w:rsid w:val="54ED0C26"/>
    <w:rsid w:val="557302C7"/>
    <w:rsid w:val="55A41C2D"/>
    <w:rsid w:val="56260894"/>
    <w:rsid w:val="56392034"/>
    <w:rsid w:val="56535401"/>
    <w:rsid w:val="56D66091"/>
    <w:rsid w:val="570010E5"/>
    <w:rsid w:val="5728260C"/>
    <w:rsid w:val="574511ED"/>
    <w:rsid w:val="5791114F"/>
    <w:rsid w:val="57B26D1A"/>
    <w:rsid w:val="57E51FEF"/>
    <w:rsid w:val="57FA4DB0"/>
    <w:rsid w:val="589C5EB0"/>
    <w:rsid w:val="58BE1257"/>
    <w:rsid w:val="58CA7BFC"/>
    <w:rsid w:val="590B532F"/>
    <w:rsid w:val="596D67DA"/>
    <w:rsid w:val="59E720E8"/>
    <w:rsid w:val="59E92091"/>
    <w:rsid w:val="59EA607C"/>
    <w:rsid w:val="5A7140A7"/>
    <w:rsid w:val="5AB32912"/>
    <w:rsid w:val="5B894F83"/>
    <w:rsid w:val="5B9526A5"/>
    <w:rsid w:val="5BB406F0"/>
    <w:rsid w:val="5BEE29DA"/>
    <w:rsid w:val="5C8B59FB"/>
    <w:rsid w:val="5CEB0141"/>
    <w:rsid w:val="5CFD7E74"/>
    <w:rsid w:val="5D3F048D"/>
    <w:rsid w:val="5D4D4958"/>
    <w:rsid w:val="5DB26EB1"/>
    <w:rsid w:val="5DB651A8"/>
    <w:rsid w:val="5E176D14"/>
    <w:rsid w:val="5E420235"/>
    <w:rsid w:val="5F482DB8"/>
    <w:rsid w:val="5F677827"/>
    <w:rsid w:val="5F780E0F"/>
    <w:rsid w:val="5FB16240"/>
    <w:rsid w:val="5FB92779"/>
    <w:rsid w:val="5FE62E42"/>
    <w:rsid w:val="60114363"/>
    <w:rsid w:val="6031556F"/>
    <w:rsid w:val="60407014"/>
    <w:rsid w:val="605D1356"/>
    <w:rsid w:val="606A351C"/>
    <w:rsid w:val="611913F0"/>
    <w:rsid w:val="6192502F"/>
    <w:rsid w:val="61F24670"/>
    <w:rsid w:val="61FB0E26"/>
    <w:rsid w:val="620121B5"/>
    <w:rsid w:val="620C3034"/>
    <w:rsid w:val="62445266"/>
    <w:rsid w:val="624D0E15"/>
    <w:rsid w:val="625124B1"/>
    <w:rsid w:val="62775FD3"/>
    <w:rsid w:val="629628FD"/>
    <w:rsid w:val="62DF7BAE"/>
    <w:rsid w:val="631A52DC"/>
    <w:rsid w:val="631F0B45"/>
    <w:rsid w:val="649E3CEB"/>
    <w:rsid w:val="64FF6ADE"/>
    <w:rsid w:val="652F7039"/>
    <w:rsid w:val="653164AB"/>
    <w:rsid w:val="65583504"/>
    <w:rsid w:val="656A3B7A"/>
    <w:rsid w:val="660109D5"/>
    <w:rsid w:val="669258FE"/>
    <w:rsid w:val="66C043ED"/>
    <w:rsid w:val="66D93700"/>
    <w:rsid w:val="66E300DB"/>
    <w:rsid w:val="66E90D3E"/>
    <w:rsid w:val="66EF4CD2"/>
    <w:rsid w:val="670D5158"/>
    <w:rsid w:val="6740552D"/>
    <w:rsid w:val="68262975"/>
    <w:rsid w:val="68525131"/>
    <w:rsid w:val="68530749"/>
    <w:rsid w:val="68572B2F"/>
    <w:rsid w:val="686B482C"/>
    <w:rsid w:val="68812DA4"/>
    <w:rsid w:val="68DB4402"/>
    <w:rsid w:val="69192ABB"/>
    <w:rsid w:val="692273C1"/>
    <w:rsid w:val="695F1E94"/>
    <w:rsid w:val="69690D6B"/>
    <w:rsid w:val="69A2602B"/>
    <w:rsid w:val="69AB1384"/>
    <w:rsid w:val="6A5A3ADE"/>
    <w:rsid w:val="6A6D488B"/>
    <w:rsid w:val="6B1D70F1"/>
    <w:rsid w:val="6BA73DCD"/>
    <w:rsid w:val="6BD173F9"/>
    <w:rsid w:val="6BD6020E"/>
    <w:rsid w:val="6C186A79"/>
    <w:rsid w:val="6C250009"/>
    <w:rsid w:val="6C7873C8"/>
    <w:rsid w:val="6C7A503E"/>
    <w:rsid w:val="6C850F7D"/>
    <w:rsid w:val="6D7E46BA"/>
    <w:rsid w:val="6DBB76BC"/>
    <w:rsid w:val="6DEA1D4F"/>
    <w:rsid w:val="6E0F17B6"/>
    <w:rsid w:val="6EBE5584"/>
    <w:rsid w:val="6EE3511C"/>
    <w:rsid w:val="6F3516F0"/>
    <w:rsid w:val="6F676140"/>
    <w:rsid w:val="6FA759AE"/>
    <w:rsid w:val="6FCE529B"/>
    <w:rsid w:val="6FD44A65"/>
    <w:rsid w:val="701337DF"/>
    <w:rsid w:val="70207CAA"/>
    <w:rsid w:val="70454C61"/>
    <w:rsid w:val="709A5CAE"/>
    <w:rsid w:val="71B0505E"/>
    <w:rsid w:val="71D56CAE"/>
    <w:rsid w:val="71D675CA"/>
    <w:rsid w:val="722A35C5"/>
    <w:rsid w:val="72C03E5C"/>
    <w:rsid w:val="72C31A2F"/>
    <w:rsid w:val="73246DDB"/>
    <w:rsid w:val="73972979"/>
    <w:rsid w:val="75387844"/>
    <w:rsid w:val="759A04FF"/>
    <w:rsid w:val="75CD4430"/>
    <w:rsid w:val="7625601A"/>
    <w:rsid w:val="764240BB"/>
    <w:rsid w:val="7644739B"/>
    <w:rsid w:val="76544B51"/>
    <w:rsid w:val="76D11131"/>
    <w:rsid w:val="76F24DEB"/>
    <w:rsid w:val="77052E16"/>
    <w:rsid w:val="770E6AAE"/>
    <w:rsid w:val="77370439"/>
    <w:rsid w:val="775766A7"/>
    <w:rsid w:val="777D24CE"/>
    <w:rsid w:val="779571D0"/>
    <w:rsid w:val="779D278B"/>
    <w:rsid w:val="77A86F03"/>
    <w:rsid w:val="77B92EBE"/>
    <w:rsid w:val="77BC682F"/>
    <w:rsid w:val="77DD2846"/>
    <w:rsid w:val="7882249C"/>
    <w:rsid w:val="789C3CE3"/>
    <w:rsid w:val="78AC657F"/>
    <w:rsid w:val="78E57CE3"/>
    <w:rsid w:val="78E73A5B"/>
    <w:rsid w:val="78E75809"/>
    <w:rsid w:val="791D747D"/>
    <w:rsid w:val="793057FF"/>
    <w:rsid w:val="79646E59"/>
    <w:rsid w:val="7A266B63"/>
    <w:rsid w:val="7A2A00A3"/>
    <w:rsid w:val="7B9A2899"/>
    <w:rsid w:val="7BB133E3"/>
    <w:rsid w:val="7C345209"/>
    <w:rsid w:val="7C5E2286"/>
    <w:rsid w:val="7CAA54CB"/>
    <w:rsid w:val="7CC07A8E"/>
    <w:rsid w:val="7D4F1BCF"/>
    <w:rsid w:val="7D657644"/>
    <w:rsid w:val="7D9D6DDE"/>
    <w:rsid w:val="7DE53DB9"/>
    <w:rsid w:val="7E266DD3"/>
    <w:rsid w:val="7E783379"/>
    <w:rsid w:val="7EBA572E"/>
    <w:rsid w:val="7ECF1219"/>
    <w:rsid w:val="7EF05A8C"/>
    <w:rsid w:val="7EF70770"/>
    <w:rsid w:val="7F8C710A"/>
    <w:rsid w:val="F35F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jc w:val="center"/>
      <w:outlineLvl w:val="0"/>
    </w:pPr>
    <w:rPr>
      <w:rFonts w:eastAsia="华文中宋"/>
      <w:b/>
      <w:bCs/>
      <w:kern w:val="44"/>
      <w:sz w:val="44"/>
      <w:szCs w:val="44"/>
    </w:rPr>
  </w:style>
  <w:style w:type="paragraph" w:styleId="3">
    <w:name w:val="heading 2"/>
    <w:basedOn w:val="1"/>
    <w:next w:val="1"/>
    <w:link w:val="27"/>
    <w:qFormat/>
    <w:uiPriority w:val="0"/>
    <w:pPr>
      <w:keepNext/>
      <w:keepLines/>
      <w:spacing w:beforeLines="50" w:afterLines="50"/>
      <w:contextualSpacing/>
      <w:outlineLvl w:val="1"/>
    </w:pPr>
    <w:rPr>
      <w:rFonts w:ascii="Arial" w:hAnsi="Arial" w:eastAsia="黑体"/>
      <w:bCs/>
      <w:kern w:val="0"/>
      <w:sz w:val="30"/>
      <w:szCs w:val="32"/>
    </w:rPr>
  </w:style>
  <w:style w:type="paragraph" w:styleId="4">
    <w:name w:val="heading 3"/>
    <w:basedOn w:val="1"/>
    <w:next w:val="1"/>
    <w:link w:val="28"/>
    <w:qFormat/>
    <w:uiPriority w:val="0"/>
    <w:pPr>
      <w:keepNext/>
      <w:keepLines/>
      <w:spacing w:before="260" w:after="260" w:line="416" w:lineRule="auto"/>
      <w:outlineLvl w:val="2"/>
    </w:pPr>
    <w:rPr>
      <w:rFonts w:eastAsia="黑体"/>
      <w:bCs/>
      <w:kern w:val="0"/>
      <w:sz w:val="28"/>
      <w:szCs w:val="32"/>
    </w:rPr>
  </w:style>
  <w:style w:type="paragraph" w:styleId="5">
    <w:name w:val="heading 4"/>
    <w:basedOn w:val="4"/>
    <w:next w:val="1"/>
    <w:link w:val="29"/>
    <w:qFormat/>
    <w:uiPriority w:val="0"/>
    <w:pPr>
      <w:spacing w:line="415" w:lineRule="auto"/>
      <w:outlineLvl w:val="3"/>
    </w:pPr>
    <w:rPr>
      <w:rFonts w:ascii="宋体" w:hAnsi="宋体"/>
      <w:color w:val="000000"/>
    </w:rPr>
  </w:style>
  <w:style w:type="paragraph" w:styleId="6">
    <w:name w:val="heading 5"/>
    <w:basedOn w:val="1"/>
    <w:next w:val="1"/>
    <w:link w:val="30"/>
    <w:qFormat/>
    <w:uiPriority w:val="0"/>
    <w:pPr>
      <w:keepNext/>
      <w:keepLines/>
      <w:spacing w:before="280" w:after="290" w:line="376" w:lineRule="auto"/>
      <w:outlineLvl w:val="4"/>
    </w:pPr>
    <w:rPr>
      <w:rFonts w:eastAsia="黑体"/>
      <w:bCs/>
      <w:kern w:val="0"/>
      <w:sz w:val="24"/>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widowControl/>
      <w:spacing w:line="360" w:lineRule="auto"/>
      <w:ind w:firstLine="420"/>
    </w:pPr>
    <w:rPr>
      <w:rFonts w:ascii="Times New Roman" w:hAnsi="Times New Roman" w:eastAsia="宋体" w:cs="Times New Roman"/>
      <w:sz w:val="28"/>
      <w:szCs w:val="20"/>
    </w:rPr>
  </w:style>
  <w:style w:type="paragraph" w:styleId="8">
    <w:name w:val="toc 4"/>
    <w:basedOn w:val="1"/>
    <w:next w:val="1"/>
    <w:unhideWhenUsed/>
    <w:qFormat/>
    <w:uiPriority w:val="39"/>
    <w:pPr>
      <w:ind w:left="1260" w:leftChars="600"/>
    </w:pPr>
    <w:rPr>
      <w:rFonts w:ascii="等线" w:hAnsi="等线" w:eastAsia="等线"/>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toc 3"/>
    <w:basedOn w:val="1"/>
    <w:next w:val="1"/>
    <w:qFormat/>
    <w:uiPriority w:val="0"/>
    <w:pPr>
      <w:ind w:left="840" w:leftChars="400"/>
    </w:pPr>
  </w:style>
  <w:style w:type="paragraph" w:styleId="12">
    <w:name w:val="Plain Text"/>
    <w:basedOn w:val="1"/>
    <w:link w:val="31"/>
    <w:qFormat/>
    <w:uiPriority w:val="0"/>
    <w:rPr>
      <w:rFonts w:ascii="宋体" w:hAnsi="Courier New"/>
      <w:kern w:val="0"/>
      <w:sz w:val="20"/>
      <w:szCs w:val="21"/>
    </w:rPr>
  </w:style>
  <w:style w:type="paragraph" w:styleId="13">
    <w:name w:val="Balloon Text"/>
    <w:basedOn w:val="1"/>
    <w:semiHidden/>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kern w:val="0"/>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List"/>
    <w:basedOn w:val="1"/>
    <w:qFormat/>
    <w:uiPriority w:val="0"/>
    <w:pPr>
      <w:ind w:left="200" w:hanging="200" w:hangingChars="200"/>
    </w:pPr>
  </w:style>
  <w:style w:type="paragraph" w:styleId="19">
    <w:name w:val="toc 2"/>
    <w:basedOn w:val="1"/>
    <w:next w:val="1"/>
    <w:qFormat/>
    <w:uiPriority w:val="0"/>
    <w:pPr>
      <w:ind w:left="420" w:leftChars="200"/>
    </w:pPr>
  </w:style>
  <w:style w:type="paragraph" w:styleId="20">
    <w:name w:val="Body Text First Indent"/>
    <w:basedOn w:val="10"/>
    <w:link w:val="34"/>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标题 1 Char"/>
    <w:link w:val="2"/>
    <w:qFormat/>
    <w:uiPriority w:val="0"/>
    <w:rPr>
      <w:rFonts w:eastAsia="华文中宋"/>
      <w:b/>
      <w:bCs/>
      <w:kern w:val="44"/>
      <w:sz w:val="44"/>
      <w:szCs w:val="44"/>
      <w:lang w:val="en-US" w:eastAsia="zh-CN" w:bidi="ar-SA"/>
    </w:rPr>
  </w:style>
  <w:style w:type="character" w:customStyle="1" w:styleId="27">
    <w:name w:val="标题 2 Char"/>
    <w:link w:val="3"/>
    <w:qFormat/>
    <w:uiPriority w:val="0"/>
    <w:rPr>
      <w:rFonts w:ascii="Arial" w:hAnsi="Arial" w:eastAsia="黑体"/>
      <w:bCs/>
      <w:sz w:val="30"/>
      <w:szCs w:val="32"/>
      <w:lang w:val="en-US" w:eastAsia="zh-CN" w:bidi="ar-SA"/>
    </w:rPr>
  </w:style>
  <w:style w:type="character" w:customStyle="1" w:styleId="28">
    <w:name w:val="标题 3 Char"/>
    <w:link w:val="4"/>
    <w:qFormat/>
    <w:uiPriority w:val="0"/>
    <w:rPr>
      <w:rFonts w:eastAsia="黑体"/>
      <w:bCs/>
      <w:sz w:val="28"/>
      <w:szCs w:val="32"/>
      <w:lang w:val="en-US" w:eastAsia="zh-CN" w:bidi="ar-SA"/>
    </w:rPr>
  </w:style>
  <w:style w:type="character" w:customStyle="1" w:styleId="29">
    <w:name w:val="标题 4 Char"/>
    <w:link w:val="5"/>
    <w:qFormat/>
    <w:uiPriority w:val="0"/>
    <w:rPr>
      <w:rFonts w:ascii="宋体" w:hAnsi="宋体" w:eastAsia="黑体"/>
      <w:bCs/>
      <w:color w:val="000000"/>
      <w:sz w:val="28"/>
      <w:szCs w:val="32"/>
      <w:lang w:val="en-US" w:eastAsia="zh-CN" w:bidi="ar-SA"/>
    </w:rPr>
  </w:style>
  <w:style w:type="character" w:customStyle="1" w:styleId="30">
    <w:name w:val="标题 5 Char"/>
    <w:link w:val="6"/>
    <w:qFormat/>
    <w:uiPriority w:val="0"/>
    <w:rPr>
      <w:rFonts w:eastAsia="黑体"/>
      <w:bCs/>
      <w:sz w:val="24"/>
      <w:szCs w:val="28"/>
      <w:lang w:val="en-US" w:eastAsia="zh-CN" w:bidi="ar-SA"/>
    </w:rPr>
  </w:style>
  <w:style w:type="character" w:customStyle="1" w:styleId="31">
    <w:name w:val="纯文本 Char"/>
    <w:link w:val="12"/>
    <w:qFormat/>
    <w:uiPriority w:val="0"/>
    <w:rPr>
      <w:rFonts w:ascii="宋体" w:hAnsi="Courier New" w:eastAsia="宋体"/>
      <w:szCs w:val="21"/>
      <w:lang w:bidi="ar-SA"/>
    </w:rPr>
  </w:style>
  <w:style w:type="character" w:customStyle="1" w:styleId="32">
    <w:name w:val="页脚 Char"/>
    <w:link w:val="14"/>
    <w:qFormat/>
    <w:uiPriority w:val="0"/>
    <w:rPr>
      <w:rFonts w:eastAsia="宋体"/>
      <w:sz w:val="18"/>
      <w:szCs w:val="18"/>
      <w:lang w:bidi="ar-SA"/>
    </w:rPr>
  </w:style>
  <w:style w:type="character" w:customStyle="1" w:styleId="33">
    <w:name w:val="页眉 Char"/>
    <w:link w:val="15"/>
    <w:qFormat/>
    <w:uiPriority w:val="0"/>
    <w:rPr>
      <w:rFonts w:eastAsia="宋体"/>
      <w:sz w:val="18"/>
      <w:szCs w:val="18"/>
      <w:lang w:bidi="ar-SA"/>
    </w:rPr>
  </w:style>
  <w:style w:type="character" w:customStyle="1" w:styleId="34">
    <w:name w:val="正文首行缩进 Char"/>
    <w:link w:val="20"/>
    <w:qFormat/>
    <w:uiPriority w:val="0"/>
    <w:rPr>
      <w:rFonts w:ascii="Calibri" w:hAnsi="Calibri" w:eastAsia="宋体"/>
      <w:kern w:val="2"/>
      <w:sz w:val="21"/>
      <w:szCs w:val="24"/>
      <w:lang w:val="en-US" w:eastAsia="zh-CN" w:bidi="ar-SA"/>
    </w:rPr>
  </w:style>
  <w:style w:type="character" w:customStyle="1" w:styleId="35">
    <w:name w:val="3eee Char"/>
    <w:link w:val="36"/>
    <w:qFormat/>
    <w:uiPriority w:val="0"/>
    <w:rPr>
      <w:rFonts w:ascii="宋体" w:hAnsi="宋体" w:cs="宋体"/>
      <w:kern w:val="2"/>
      <w:sz w:val="24"/>
      <w:szCs w:val="24"/>
    </w:rPr>
  </w:style>
  <w:style w:type="paragraph" w:customStyle="1" w:styleId="36">
    <w:name w:val="3eee"/>
    <w:basedOn w:val="1"/>
    <w:link w:val="35"/>
    <w:qFormat/>
    <w:uiPriority w:val="0"/>
    <w:pPr>
      <w:spacing w:line="440" w:lineRule="exact"/>
      <w:ind w:firstLine="480" w:firstLineChars="200"/>
    </w:pPr>
    <w:rPr>
      <w:rFonts w:ascii="宋体" w:hAnsi="宋体"/>
      <w:sz w:val="24"/>
    </w:rPr>
  </w:style>
  <w:style w:type="character" w:customStyle="1" w:styleId="37">
    <w:name w:val="样式 首行缩进:  0.85 厘米 Char"/>
    <w:link w:val="38"/>
    <w:qFormat/>
    <w:uiPriority w:val="0"/>
    <w:rPr>
      <w:kern w:val="2"/>
      <w:sz w:val="24"/>
    </w:rPr>
  </w:style>
  <w:style w:type="paragraph" w:customStyle="1" w:styleId="38">
    <w:name w:val="样式 首行缩进:  0.85 厘米"/>
    <w:basedOn w:val="1"/>
    <w:link w:val="37"/>
    <w:qFormat/>
    <w:uiPriority w:val="0"/>
    <w:pPr>
      <w:spacing w:line="360" w:lineRule="auto"/>
      <w:ind w:firstLine="482"/>
    </w:pPr>
    <w:rPr>
      <w:sz w:val="24"/>
      <w:szCs w:val="20"/>
    </w:rPr>
  </w:style>
  <w:style w:type="paragraph" w:customStyle="1" w:styleId="39">
    <w:name w:val="WPSOffice手动目录 1"/>
    <w:qFormat/>
    <w:uiPriority w:val="0"/>
    <w:rPr>
      <w:rFonts w:ascii="Calibri" w:hAnsi="Calibri" w:eastAsia="宋体" w:cs="Times New Roman"/>
      <w:lang w:val="en-US" w:eastAsia="zh-CN" w:bidi="ar-SA"/>
    </w:rPr>
  </w:style>
  <w:style w:type="paragraph" w:styleId="40">
    <w:name w:val="List Paragraph"/>
    <w:basedOn w:val="1"/>
    <w:qFormat/>
    <w:uiPriority w:val="34"/>
    <w:pPr>
      <w:ind w:firstLine="420" w:firstLineChars="200"/>
    </w:pPr>
    <w:rPr>
      <w:szCs w:val="20"/>
    </w:rPr>
  </w:style>
  <w:style w:type="paragraph" w:customStyle="1" w:styleId="41">
    <w:name w:val="段"/>
    <w:qFormat/>
    <w:uiPriority w:val="0"/>
    <w:pPr>
      <w:autoSpaceDE w:val="0"/>
      <w:autoSpaceDN w:val="0"/>
      <w:spacing w:line="0" w:lineRule="atLeast"/>
      <w:ind w:firstLine="200" w:firstLineChars="200"/>
      <w:jc w:val="both"/>
    </w:pPr>
    <w:rPr>
      <w:rFonts w:hint="eastAsia" w:ascii="宋体" w:hAnsi="Times New Roman" w:eastAsia="宋体" w:cs="Times New Roman"/>
      <w:sz w:val="21"/>
      <w:lang w:val="en-US" w:eastAsia="zh-CN" w:bidi="ar-SA"/>
    </w:rPr>
  </w:style>
  <w:style w:type="paragraph" w:customStyle="1" w:styleId="42">
    <w:name w:val="WPSOffice手动目录 2"/>
    <w:qFormat/>
    <w:uiPriority w:val="0"/>
    <w:pPr>
      <w:ind w:leftChars="200"/>
    </w:pPr>
    <w:rPr>
      <w:rFonts w:ascii="Calibri" w:hAnsi="Calibri" w:eastAsia="宋体" w:cs="Times New Roman"/>
      <w:lang w:val="en-US" w:eastAsia="zh-CN" w:bidi="ar-SA"/>
    </w:rPr>
  </w:style>
  <w:style w:type="paragraph" w:customStyle="1" w:styleId="43">
    <w:name w:val="列出段落111"/>
    <w:basedOn w:val="1"/>
    <w:qFormat/>
    <w:uiPriority w:val="34"/>
    <w:pPr>
      <w:spacing w:after="200" w:line="276" w:lineRule="auto"/>
      <w:ind w:firstLine="420" w:firstLineChars="200"/>
      <w:jc w:val="left"/>
    </w:pPr>
    <w:rPr>
      <w:kern w:val="0"/>
      <w:sz w:val="22"/>
      <w:lang w:eastAsia="en-US"/>
    </w:rPr>
  </w:style>
  <w:style w:type="paragraph" w:customStyle="1" w:styleId="44">
    <w:name w:val="样式 宋体 行距: 1.5 倍行距"/>
    <w:basedOn w:val="1"/>
    <w:qFormat/>
    <w:uiPriority w:val="0"/>
    <w:pPr>
      <w:spacing w:line="240" w:lineRule="auto"/>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21</Pages>
  <Words>10400</Words>
  <Characters>11151</Characters>
  <Lines>118</Lines>
  <Paragraphs>33</Paragraphs>
  <TotalTime>17</TotalTime>
  <ScaleCrop>false</ScaleCrop>
  <LinksUpToDate>false</LinksUpToDate>
  <CharactersWithSpaces>12162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2022-09-07T20:19:00Z</dcterms:created>
  <dc:creator>赵冬芳</dc:creator>
  <cp:lastModifiedBy>f</cp:lastModifiedBy>
  <cp:lastPrinted>2022-05-06T17:46:00Z</cp:lastPrinted>
  <dcterms:modified xsi:type="dcterms:W3CDTF">2023-12-25T16:22:15Z</dcterms:modified>
  <dc:title>广州市第一人民医院整体扩建项目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BBE83748CFA34BC8AAEAB5053C516441_13</vt:lpwstr>
  </property>
</Properties>
</file>