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rPr>
          <w:rFonts w:hint="eastAsia" w:ascii="仿宋_GB2312" w:hAnsi="仿宋_GB2312" w:cs="仿宋_GB2312"/>
          <w:color w:val="FF0000"/>
          <w:szCs w:val="32"/>
        </w:rPr>
      </w:pPr>
      <w: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871220</wp:posOffset>
                </wp:positionV>
                <wp:extent cx="5615940" cy="1702435"/>
                <wp:effectExtent l="0" t="0" r="0" b="0"/>
                <wp:wrapNone/>
                <wp:docPr id="4" name="组合 4"/>
                <wp:cNvGraphicFramePr/>
                <a:graphic xmlns:a="http://schemas.openxmlformats.org/drawingml/2006/main">
                  <a:graphicData uri="http://schemas.microsoft.com/office/word/2010/wordprocessingGroup">
                    <wpg:wgp>
                      <wpg:cNvGrpSpPr/>
                      <wpg:grpSpPr>
                        <a:xfrm>
                          <a:off x="0" y="0"/>
                          <a:ext cx="5615940" cy="1702435"/>
                          <a:chOff x="0" y="0"/>
                          <a:chExt cx="8844" cy="2681"/>
                        </a:xfrm>
                      </wpg:grpSpPr>
                      <wps:wsp>
                        <wps:cNvPr id="2" name="直接连接符 2"/>
                        <wps:cNvCnPr/>
                        <wps:spPr>
                          <a:xfrm>
                            <a:off x="0" y="2681"/>
                            <a:ext cx="8844" cy="1"/>
                          </a:xfrm>
                          <a:prstGeom prst="line">
                            <a:avLst/>
                          </a:prstGeom>
                          <a:ln w="25400" cap="flat" cmpd="sng">
                            <a:solidFill>
                              <a:srgbClr val="FF0000"/>
                            </a:solidFill>
                            <a:prstDash val="solid"/>
                            <a:headEnd type="none" w="med" len="med"/>
                            <a:tailEnd type="none" w="med" len="med"/>
                          </a:ln>
                        </wps:spPr>
                        <wps:txbx>
                          <w:txbxContent>
                            <w:p/>
                          </w:txbxContent>
                        </wps:txbx>
                        <wps:bodyPr upright="1"/>
                      </wps:wsp>
                      <wps:wsp>
                        <wps:cNvPr id="3" name="矩形 3"/>
                        <wps:cNvSpPr/>
                        <wps:spPr>
                          <a:xfrm>
                            <a:off x="6" y="0"/>
                            <a:ext cx="8790" cy="1307"/>
                          </a:xfrm>
                          <a:prstGeom prst="rect">
                            <a:avLst/>
                          </a:prstGeom>
                          <a:noFill/>
                          <a:ln>
                            <a:noFill/>
                          </a:ln>
                        </wps:spPr>
                        <wps:txbx>
                          <w:txbxContent>
                            <w:p>
                              <w:r>
                                <w:rPr>
                                  <w:rFonts w:hint="eastAsia" w:ascii="方正小标宋简体" w:hAnsi="方正小标宋简体" w:eastAsia="方正小标宋简体" w:cs="方正小标宋简体"/>
                                  <w:color w:val="FF0000"/>
                                  <w:spacing w:val="-11"/>
                                  <w:sz w:val="10"/>
                                  <w:szCs w:val="10"/>
                                </w:rPr>
                                <w:t xml:space="preserve">       </w:t>
                              </w:r>
                              <w:r>
                                <w:drawing>
                                  <wp:inline distT="0" distB="0" distL="114300" distR="114300">
                                    <wp:extent cx="5400040" cy="647700"/>
                                    <wp:effectExtent l="0" t="0" r="10160" b="0"/>
                                    <wp:docPr id="5" name="图片 1" descr="13"/>
                                    <wp:cNvGraphicFramePr/>
                                    <a:graphic xmlns:a="http://schemas.openxmlformats.org/drawingml/2006/main">
                                      <a:graphicData uri="http://schemas.openxmlformats.org/drawingml/2006/picture">
                                        <pic:pic xmlns:pic="http://schemas.openxmlformats.org/drawingml/2006/picture">
                                          <pic:nvPicPr>
                                            <pic:cNvPr id="5" name="图片 1" descr="13"/>
                                            <pic:cNvPicPr/>
                                          </pic:nvPicPr>
                                          <pic:blipFill>
                                            <a:blip r:embed="rId5"/>
                                            <a:stretch>
                                              <a:fillRect/>
                                            </a:stretch>
                                          </pic:blipFill>
                                          <pic:spPr>
                                            <a:xfrm>
                                              <a:off x="0" y="0"/>
                                              <a:ext cx="5400040" cy="647700"/>
                                            </a:xfrm>
                                            <a:prstGeom prst="rect">
                                              <a:avLst/>
                                            </a:prstGeom>
                                            <a:noFill/>
                                            <a:ln>
                                              <a:noFill/>
                                            </a:ln>
                                          </pic:spPr>
                                        </pic:pic>
                                      </a:graphicData>
                                    </a:graphic>
                                  </wp:inline>
                                </w:drawing>
                              </w:r>
                            </w:p>
                          </w:txbxContent>
                        </wps:txbx>
                        <wps:bodyPr lIns="0" tIns="0" rIns="0" bIns="0" upright="1"/>
                      </wps:wsp>
                    </wpg:wgp>
                  </a:graphicData>
                </a:graphic>
              </wp:anchor>
            </w:drawing>
          </mc:Choice>
          <mc:Fallback>
            <w:pict>
              <v:group id="_x0000_s1026" o:spid="_x0000_s1026" o:spt="203" style="position:absolute;left:0pt;margin-left:0.65pt;margin-top:68.6pt;height:134.05pt;width:442.2pt;z-index:251659264;mso-width-relative:page;mso-height-relative:page;" coordsize="8844,2681" o:gfxdata="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AzlU7ZAAAACQEAAA8AAAAA&#10;AAAAAQAgAAAAIgAAAGRycy9kb3ducmV2LnhtbFBLAQIUABQAAAAIAIdO4kC64zUqvgIAAJ0GAAAO&#10;AAAAAAAAAAEAIAAAACgBAABkcnMvZTJvRG9jLnhtbFBLBQYAAAAABgAGAFkBAABYBgAAAAA=&#10;">
                <o:lock v:ext="edit" aspectratio="f"/>
                <v:line id="_x0000_s1026" o:spid="_x0000_s1026" o:spt="20" style="position:absolute;left:0;top:2681;height:1;width:8844;"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textbox>
                    <w:txbxContent>
                      <w:p/>
                    </w:txbxContent>
                  </v:textbox>
                </v:line>
                <v:rect id="_x0000_s1026" o:spid="_x0000_s1026" o:spt="1" style="position:absolute;left:6;top:0;height:1307;width:8790;" filled="f" stroked="f" coordsize="21600,21600" o:gfxdata="UEsDBAoAAAAAAIdO4kAAAAAAAAAAAAAAAAAEAAAAZHJzL1BLAwQUAAAACACHTuJAgPVhfr0AAADa&#10;AAAADwAAAGRycy9kb3ducmV2LnhtbEWPT4vCMBTE78J+h/AWvGmqC6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9WF+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hint="eastAsia" w:ascii="方正小标宋简体" w:hAnsi="方正小标宋简体" w:eastAsia="方正小标宋简体" w:cs="方正小标宋简体"/>
                            <w:color w:val="FF0000"/>
                            <w:spacing w:val="-11"/>
                            <w:sz w:val="10"/>
                            <w:szCs w:val="10"/>
                          </w:rPr>
                          <w:t xml:space="preserve">       </w:t>
                        </w:r>
                        <w:r>
                          <w:drawing>
                            <wp:inline distT="0" distB="0" distL="114300" distR="114300">
                              <wp:extent cx="5400040" cy="647700"/>
                              <wp:effectExtent l="0" t="0" r="10160" b="0"/>
                              <wp:docPr id="5" name="图片 1" descr="13"/>
                              <wp:cNvGraphicFramePr/>
                              <a:graphic xmlns:a="http://schemas.openxmlformats.org/drawingml/2006/main">
                                <a:graphicData uri="http://schemas.openxmlformats.org/drawingml/2006/picture">
                                  <pic:pic xmlns:pic="http://schemas.openxmlformats.org/drawingml/2006/picture">
                                    <pic:nvPicPr>
                                      <pic:cNvPr id="5" name="图片 1" descr="13"/>
                                      <pic:cNvPicPr/>
                                    </pic:nvPicPr>
                                    <pic:blipFill>
                                      <a:blip r:embed="rId5"/>
                                      <a:stretch>
                                        <a:fillRect/>
                                      </a:stretch>
                                    </pic:blipFill>
                                    <pic:spPr>
                                      <a:xfrm>
                                        <a:off x="0" y="0"/>
                                        <a:ext cx="5400040" cy="647700"/>
                                      </a:xfrm>
                                      <a:prstGeom prst="rect">
                                        <a:avLst/>
                                      </a:prstGeom>
                                      <a:noFill/>
                                      <a:ln>
                                        <a:noFill/>
                                      </a:ln>
                                    </pic:spPr>
                                  </pic:pic>
                                </a:graphicData>
                              </a:graphic>
                            </wp:inline>
                          </w:drawing>
                        </w:r>
                      </w:p>
                    </w:txbxContent>
                  </v:textbox>
                </v:rect>
              </v:group>
            </w:pict>
          </mc:Fallback>
        </mc:AlternateContent>
      </w:r>
    </w:p>
    <w:p>
      <w:pPr>
        <w:jc w:val="left"/>
        <w:rPr>
          <w:rFonts w:hint="eastAsia" w:ascii="方正小标宋简体" w:hAnsi="方正小标宋简体" w:eastAsia="方正小标宋简体" w:cs="方正小标宋简体"/>
          <w:color w:val="FF0000"/>
          <w:spacing w:val="-11"/>
          <w:szCs w:val="32"/>
        </w:rPr>
      </w:pPr>
      <w:r>
        <w:rPr>
          <w:rFonts w:hint="eastAsia" w:ascii="方正小标宋简体" w:hAnsi="方正小标宋简体" w:eastAsia="方正小标宋简体" w:cs="方正小标宋简体"/>
          <w:color w:val="FF0000"/>
          <w:spacing w:val="-11"/>
          <w:sz w:val="10"/>
          <w:szCs w:val="10"/>
        </w:rPr>
        <w:t xml:space="preserve">      </w:t>
      </w:r>
    </w:p>
    <w:p>
      <w:pPr>
        <w:spacing w:line="1000" w:lineRule="exact"/>
        <w:jc w:val="left"/>
        <w:rPr>
          <w:rFonts w:hint="eastAsia" w:ascii="方正小标宋简体" w:hAnsi="方正小标宋简体" w:eastAsia="方正小标宋简体" w:cs="方正小标宋简体"/>
          <w:color w:val="FF0000"/>
          <w:spacing w:val="-11"/>
          <w:szCs w:val="32"/>
        </w:rPr>
      </w:pPr>
    </w:p>
    <w:p>
      <w:pPr>
        <w:spacing w:line="560" w:lineRule="exact"/>
        <w:jc w:val="center"/>
        <w:rPr>
          <w:rFonts w:ascii="仿宋_GB2312"/>
          <w:szCs w:val="32"/>
        </w:rPr>
      </w:pPr>
      <w:r>
        <w:rPr>
          <w:rFonts w:hint="eastAsia" w:ascii="仿宋_GB2312"/>
          <w:szCs w:val="32"/>
        </w:rPr>
        <w:t>翁府〔20</w:t>
      </w:r>
      <w:r>
        <w:rPr>
          <w:rFonts w:hint="eastAsia" w:ascii="仿宋_GB2312"/>
          <w:szCs w:val="32"/>
          <w:lang w:val="en-US" w:eastAsia="zh-CN"/>
        </w:rPr>
        <w:t>22</w:t>
      </w:r>
      <w:r>
        <w:rPr>
          <w:rFonts w:hint="eastAsia" w:ascii="仿宋_GB2312"/>
          <w:szCs w:val="32"/>
        </w:rPr>
        <w:t>〕</w:t>
      </w:r>
      <w:r>
        <w:rPr>
          <w:rFonts w:hint="default" w:ascii="仿宋_GB2312"/>
          <w:szCs w:val="32"/>
          <w:lang w:val="en" w:eastAsia="zh-CN"/>
        </w:rPr>
        <w:t>121</w:t>
      </w:r>
      <w:r>
        <w:rPr>
          <w:rFonts w:hint="eastAsia" w:ascii="仿宋_GB2312"/>
          <w:szCs w:val="32"/>
        </w:rPr>
        <w:t>号</w:t>
      </w:r>
    </w:p>
    <w:p>
      <w:pPr>
        <w:rPr>
          <w:rFonts w:hint="eastAsia" w:ascii="方正小标宋简体" w:hAnsi="方正小标宋简体" w:eastAsia="方正小标宋简体" w:cs="方正小标宋简体"/>
          <w:color w:val="FF0000"/>
          <w:spacing w:val="-11"/>
          <w:szCs w:val="3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lang w:val="en-US" w:eastAsia="zh-CN"/>
        </w:rPr>
        <w:t>翁源县人民政府关于印发《</w:t>
      </w:r>
      <w:r>
        <w:rPr>
          <w:rFonts w:hint="eastAsia" w:ascii="方正小标宋简体" w:hAnsi="方正小标宋简体" w:eastAsia="方正小标宋简体" w:cs="方正小标宋简体"/>
          <w:color w:val="auto"/>
          <w:sz w:val="44"/>
          <w:szCs w:val="44"/>
          <w:lang w:val="en-US" w:eastAsia="zh-CN"/>
        </w:rPr>
        <w:t>翁源县政府投资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非经营性项目代建管理办法</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翁源经济开发区管委会，粤台农业合作试验区翁源核心区管委会，青云山省级自然保护区管理处，各镇政府，县政府各有关部门、直属机构：</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《翁源县政府投资非经营性项目代建管理办法》已经县政府十六届第12次常务会议通过，现印发给你们，请认真贯彻执行。执行过程中遇到的问题，请径向县公共资产管理中心反映。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翁源县人民政府</w:t>
      </w:r>
    </w:p>
    <w:p>
      <w:pPr>
        <w:keepNext w:val="0"/>
        <w:keepLines w:val="0"/>
        <w:pageBreakBefore w:val="0"/>
        <w:widowControl w:val="0"/>
        <w:kinsoku/>
        <w:wordWrap/>
        <w:overflowPunct/>
        <w:topLinePunct w:val="0"/>
        <w:autoSpaceDE/>
        <w:autoSpaceDN/>
        <w:bidi w:val="0"/>
        <w:adjustRightInd/>
        <w:snapToGrid/>
        <w:spacing w:line="520" w:lineRule="exact"/>
        <w:ind w:firstLine="5056"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default" w:ascii="仿宋_GB2312" w:hAnsi="仿宋_GB2312" w:cs="仿宋_GB2312"/>
          <w:sz w:val="32"/>
          <w:szCs w:val="32"/>
          <w:lang w:val="en" w:eastAsia="zh-CN"/>
        </w:rPr>
        <w:t>7</w:t>
      </w:r>
      <w:r>
        <w:rPr>
          <w:rFonts w:hint="eastAsia" w:ascii="仿宋_GB2312" w:hAnsi="仿宋_GB2312" w:eastAsia="仿宋_GB2312" w:cs="仿宋_GB2312"/>
          <w:sz w:val="32"/>
          <w:szCs w:val="32"/>
          <w:lang w:val="en-US" w:eastAsia="zh-CN"/>
        </w:rPr>
        <w:t>月</w:t>
      </w:r>
      <w:r>
        <w:rPr>
          <w:rFonts w:hint="default" w:ascii="仿宋_GB2312" w:hAnsi="仿宋_GB2312" w:cs="仿宋_GB2312"/>
          <w:sz w:val="32"/>
          <w:szCs w:val="32"/>
          <w:lang w:val="en" w:eastAsia="zh-CN"/>
        </w:rPr>
        <w:t>15</w:t>
      </w:r>
      <w:r>
        <w:rPr>
          <w:rFonts w:hint="eastAsia" w:ascii="仿宋_GB2312" w:hAnsi="仿宋_GB2312" w:eastAsia="仿宋_GB2312" w:cs="仿宋_GB2312"/>
          <w:sz w:val="32"/>
          <w:szCs w:val="32"/>
          <w:lang w:val="en-US" w:eastAsia="zh-CN"/>
        </w:rPr>
        <w:t>日</w:t>
      </w:r>
    </w:p>
    <w:p>
      <w:pPr>
        <w:spacing w:line="6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11"/>
          <w:sz w:val="44"/>
          <w:szCs w:val="44"/>
        </w:rPr>
        <w:t>翁源县政府投资</w:t>
      </w:r>
      <w:r>
        <w:rPr>
          <w:rFonts w:hint="eastAsia" w:ascii="方正小标宋简体" w:hAnsi="方正小标宋简体" w:eastAsia="方正小标宋简体" w:cs="方正小标宋简体"/>
          <w:color w:val="000000"/>
          <w:spacing w:val="-11"/>
          <w:sz w:val="44"/>
          <w:szCs w:val="44"/>
          <w:lang w:val="en-US" w:eastAsia="zh-CN"/>
        </w:rPr>
        <w:t>非经营性</w:t>
      </w:r>
      <w:r>
        <w:rPr>
          <w:rFonts w:hint="eastAsia" w:ascii="方正小标宋简体" w:hAnsi="方正小标宋简体" w:eastAsia="方正小标宋简体" w:cs="方正小标宋简体"/>
          <w:color w:val="000000"/>
          <w:spacing w:val="-11"/>
          <w:sz w:val="44"/>
          <w:szCs w:val="44"/>
        </w:rPr>
        <w:t>项目代建管理办法</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为进一步深化投资体制改革，提高政府投资非经营性项目的建设管理水平和投资效益，加强廉政建设，根据《国务院关于投资体制改革的决定》（国发〔2004〕20号）、《广东省人民政府关于印发〈广东省政府投资省属非经营性项目建设</w:t>
      </w:r>
      <w:r>
        <w:rPr>
          <w:rFonts w:hint="eastAsia" w:ascii="仿宋_GB2312" w:hAnsi="仿宋_GB2312" w:eastAsia="仿宋_GB2312" w:cs="仿宋_GB2312"/>
          <w:sz w:val="32"/>
          <w:szCs w:val="32"/>
        </w:rPr>
        <w:t>管理办法〉的通知》（粤府〔2022〕12号）及《韶关市政府投资非经营性项目代建管理办法》（韶府规审〔2019〕18号）等规定，结合我县实际，制定本办法。</w:t>
      </w:r>
    </w:p>
    <w:p>
      <w:pPr>
        <w:spacing w:line="560" w:lineRule="exact"/>
        <w:ind w:firstLine="632"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县本级政府投资资金建设的非经营性项目适用本办法。</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xml:space="preserve"> 本办法所称代建制，是指县政府通过设立专门的代建管理机构，对县政府投资非经营性项目实施集中建设管理，严格控制项目投资、质量安全和工期进度，项目竣工验收后移交业主或者项目使用单位、设施管养单位（以下简称业主）的制度。</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翁源县公共资产管理中心是县政府指定的代建管理机构，可受政府委托，代建非经营性项目</w:t>
      </w:r>
      <w:r>
        <w:rPr>
          <w:rFonts w:hint="eastAsia" w:ascii="仿宋_GB2312" w:hAnsi="仿宋_GB2312" w:eastAsia="仿宋_GB2312" w:cs="仿宋_GB2312"/>
          <w:color w:val="000000"/>
          <w:sz w:val="32"/>
          <w:szCs w:val="32"/>
        </w:rPr>
        <w:t>。县政府根据工作需要，也可以指定相关部门负责部分政府投资非经营性项目的代建工作。</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color w:val="000000"/>
          <w:sz w:val="32"/>
          <w:szCs w:val="32"/>
        </w:rPr>
        <w:t xml:space="preserve"> 本办法所称政府投资资金包括：</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（一）财政性资金（包括财政预算内资金、政府性基金、纳入财政专户管理的各项非税收入、政府资源性收入）；</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（二）政府性贷款（包括政府融资性资金、国债资金、国外政府贷款等）及各有关部门统借统还资金；</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（三）各行政事业单位的自有资金（含单位来源于经营服务性收入、非经营性资产租金收入、资产处置收入、上级下拨收入、下属单位上缴管理服务费及其他收入的资金）；</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（四）法律法规规定的其他财政性资金。</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color w:val="000000"/>
          <w:sz w:val="32"/>
          <w:szCs w:val="32"/>
        </w:rPr>
        <w:t xml:space="preserve"> 本办法所称政府投资非经营性项目包括：</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（一）党政机关、人大机关、政协机关、审判机关、检察机关、事业单位、人民团体的办公、业务用房及培训教育用房；</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（二）科研、教育、文化、卫生、体育、民政、劳动社保及广播电视等社会事业项目；</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（三）环境保护、市政设施等公用工程项目（应急抢险的市政工程除外）；</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（四）县政府指定实行代建的其他非经营性项目。</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第五</w:t>
      </w:r>
      <w:r>
        <w:rPr>
          <w:rFonts w:hint="eastAsia" w:ascii="黑体" w:hAnsi="黑体" w:eastAsia="黑体" w:cs="黑体"/>
          <w:bCs/>
          <w:sz w:val="32"/>
          <w:szCs w:val="32"/>
        </w:rPr>
        <w:t>条</w:t>
      </w:r>
      <w:r>
        <w:rPr>
          <w:rFonts w:hint="eastAsia" w:ascii="仿宋_GB2312" w:hAnsi="仿宋_GB2312" w:eastAsia="仿宋_GB2312" w:cs="仿宋_GB2312"/>
          <w:sz w:val="32"/>
          <w:szCs w:val="32"/>
        </w:rPr>
        <w:t xml:space="preserve"> 立项总投资人民币400万元以上（含400万元）的政府投资非经营性项目，原则上实行代建制，县政府另有指定实施机构的除外。</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涉及国家安全与国家秘密的项目，业主报请县政府同意，可不实行代建，由业主单位根据国家和省有关法律法规组织建设。</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代建工作的开展，应遵循公开、公</w:t>
      </w:r>
      <w:r>
        <w:rPr>
          <w:rFonts w:hint="eastAsia" w:ascii="仿宋_GB2312" w:hAnsi="仿宋_GB2312" w:eastAsia="仿宋_GB2312" w:cs="仿宋_GB2312"/>
          <w:color w:val="000000"/>
          <w:sz w:val="32"/>
          <w:szCs w:val="32"/>
        </w:rPr>
        <w:t>平、公正和专业化、市场化原则。</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color w:val="000000"/>
          <w:sz w:val="32"/>
          <w:szCs w:val="32"/>
        </w:rPr>
        <w:t xml:space="preserve"> 在代建期间由代建管理机构代行项目建设实施和管理的主体职责。县发改、财政、自然资源、生态环境、住建管理、消防等有关行政部门对实行代建制的建设项目的审批程序不变，按照各自职责做好相关管理与服务工作。</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代建管理机构受业主委托在项目实施阶段作为项目法人，负责项目代建过程中的组织和协调管理，并以代建管理机构名义办理代建阶段的相关手续。</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color w:val="000000"/>
          <w:sz w:val="32"/>
          <w:szCs w:val="32"/>
        </w:rPr>
        <w:t xml:space="preserve"> 代建管理机构应当按照代建项目的可行性研究报告批复、初步设计及概算审批文件的要求，严格遵守基本建设程序及法律、法规、规章的规定，严格执行有关基本建设的技术标准、规程，节约投资，确保工程质量和安全生产，按期完成项目建设。</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业主的主要职责：</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）协助代建管理机构做好项目建设实施阶段管理；</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（二）负责项目建设资金的落实，包括财政拨款、自筹资金、银行贷款、争取上级资金等；</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（三）负责编制项目建议书，确定项目建设规模、建设内容、建设标准、投资总额及项目使用的绩效目标；</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负责编制可行性研究报告，负责办理项目选址、前期勘察、环评、规划（含方案）、用地、水保、地灾、矿产压覆、立项等需由业主出面办理的各项报批手续，协助代建管理机构办理项目建设开工前的各项审批手续；</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（五）参与项目设计审查，在初步设计阶段提出具体的使用功能配置要求，初步设计审批后，未经县政府同意，不得随意变更功能配置；</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六）负责办理用地手续，协助征地拆迁和清表工作（县政府另有指定的除外）；</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（七）负责编制项目年度基建支出预算，协助代建管理机构编制项目年度投资计划和竣工财务决算报告，向代建管理机构移交全部前期工作审批文件和资料；</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（八）参与工程勘察、设计、监理、施工和设备材料选购等招标的监督工作；</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（九）参与项目工程质量、施工进度以及资金使用的全过程监督管理，参与工程设计变更、工程阶段验收和竣工验收；</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（十）办理项目产权登记和资产接收等手续；</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（十一）负责已竣工验收或已完工投入使用项目的接收，并做好管理养护工作；</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（十二）其他应由业主单位完成的工作。</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color w:val="000000"/>
          <w:sz w:val="32"/>
          <w:szCs w:val="32"/>
        </w:rPr>
        <w:t xml:space="preserve"> 代建管理机构的主要职责：</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（一）负责项目建设实施阶段的代建管理，负责项目施工投资控制、质量安全、工期进度、信息档案的监督管理；</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）拟定年度代建项目计划，</w:t>
      </w:r>
      <w:r>
        <w:rPr>
          <w:rFonts w:hint="eastAsia" w:ascii="仿宋_GB2312" w:hAnsi="仿宋_GB2312" w:eastAsia="仿宋_GB2312" w:cs="仿宋_GB2312"/>
          <w:color w:val="000000"/>
          <w:sz w:val="32"/>
          <w:szCs w:val="32"/>
        </w:rPr>
        <w:t>提出代建项目资金使用需求，完成代建项目年度投资计划，参与县政府城市建设资金统筹使用计划的编制；</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（三）协助业主做好项目立项、规划选址、土地使用等前期准备工作，负责办理项目开工前的各项审批手续；</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（四）根据相关法律法规的要求确定勘察、设计、施工、监理及其他服务单位，并签订有关合同，依法履行项目法人职责；</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（五）按工程建设进度编制用款计划，对参建单位的资金拨付申请提出审查意见，经有关部门批准后，办理资金支付手续；</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（六）编制项目年度投资计划，协助业主编制年度基建支出预算；</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（七）协调参建单位和业主的关系，将参建过程中发生的违法、违规行为及时报告有关行政主管部门；</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八）组织工程的竣工验收，负责项目竣工备案、组织施工单位编制结算资料并报县财政投资评审中心审核，竣工财务决算及资产移交；</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（九）负责向业主（管养）单位移交已竣工验收或已完工投入使用的项目；</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（十）在工程保修期间发生质量问题的，按合同约定督导参建单位处理，并负责工程索赔、工程保修等事项。</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（十一）应由代建管理机构完成的其他工作。</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项目实行代建制的，由县政府在项目启动时分别明确业主单位、代建单位。</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color w:val="000000"/>
          <w:sz w:val="32"/>
          <w:szCs w:val="32"/>
        </w:rPr>
        <w:t xml:space="preserve"> 可行性研究报告批准后，业主须书面委托代建管理机构对代建项目的建设以业主身份代行管理，在可行性研究报告批复的基础上明确代建范围、建设规模、发改部门核定的建设标准、建设内容、建设工期等相关内容，并同时提供项目建设的有关资料。</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color w:val="000000"/>
          <w:sz w:val="32"/>
          <w:szCs w:val="32"/>
        </w:rPr>
        <w:t xml:space="preserve"> 代建管理机构按规定根据批复后的项目可行性研究报告组织编制初步设计，初步设计由县行业主管部门组织审查和批复。县行业主管部门在审查和批复初步设计及概算时，项目建设规模、投资不能突破发改部门批复的范围。</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color w:val="000000"/>
          <w:sz w:val="32"/>
          <w:szCs w:val="32"/>
        </w:rPr>
        <w:t xml:space="preserve"> 代建管理机构应按有关规定委托招标代理机构，依法组织招标，确定勘察、设计、施工、监理等参建单位并签订相关合同。</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color w:val="000000"/>
          <w:sz w:val="32"/>
          <w:szCs w:val="32"/>
        </w:rPr>
        <w:t xml:space="preserve"> 代建管理机构要严格按照批准的建设规模、建设内容、建设标准、概算投资和交付使用时间进行施工组织管理。代建项目发生扩大规模、提高标准、改变使用功能等情况时由业主按规定完成审批后交代建管理机构执行。如在实施过程中因其他不可预见因素造成投资额增加的，代建管理机构应当书面告知业主，并按规定程序上报审批。</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color w:val="000000"/>
          <w:sz w:val="32"/>
          <w:szCs w:val="32"/>
        </w:rPr>
        <w:t xml:space="preserve"> 代建管理机构应根据工程进度每季度分别向县政府和县发改</w:t>
      </w:r>
      <w:r>
        <w:rPr>
          <w:rFonts w:hint="eastAsia" w:ascii="仿宋_GB2312" w:hAnsi="仿宋_GB2312" w:eastAsia="仿宋_GB2312" w:cs="仿宋_GB2312"/>
          <w:sz w:val="32"/>
          <w:szCs w:val="32"/>
        </w:rPr>
        <w:t>、财政等部门和业主分别报送工程项</w:t>
      </w:r>
      <w:r>
        <w:rPr>
          <w:rFonts w:hint="eastAsia" w:ascii="仿宋_GB2312" w:hAnsi="仿宋_GB2312" w:eastAsia="仿宋_GB2312" w:cs="仿宋_GB2312"/>
          <w:color w:val="000000"/>
          <w:sz w:val="32"/>
          <w:szCs w:val="32"/>
        </w:rPr>
        <w:t>目进度报表。</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xml:space="preserve"> 代建项目建成后，代建管理机构须按国家有关规定和交接约定组织竣（交）工验收，工程竣工或者交工验收合格的，方可移交业主使用或者管理。业主须在工程竣工或者交工验收合格当日进行接收。</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工程竣工或者交工验收合格后，代建管理机构应当及时提交项目结算资料至县财政投资评审中心对项目进行结算审定。</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color w:val="000000"/>
          <w:sz w:val="32"/>
          <w:szCs w:val="32"/>
        </w:rPr>
        <w:t xml:space="preserve"> 代建管理机构应按照城建档案管理规定，做好代建项目建设档案的收集、整理、归档及移交工作。</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代建管理机构应自项目竣工验收之日起六个月内与业主办结资产交付手续。</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xml:space="preserve"> 县代建管理机构应设立代建工程资金专户（以下简称代建专户），代建专户实行县财政部门与县代建管理机构双印鉴管理，严格执行国家建设单位财务会计制度有关规定，分基建项目单独建账核算，按照国家和省关于基本建设财务管理的规定执行，专款专用，严禁挪用、挤占。</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color w:val="000000"/>
          <w:sz w:val="32"/>
          <w:szCs w:val="32"/>
        </w:rPr>
        <w:t xml:space="preserve"> 参建单位根据工程进度和资金情况，按照工程建设资金拨付管理程序，提出资金书面申请，代建管理机构按程序报送相关单位审定和批准后，由代建专户直接支付到参建单位或用款单位银行账户。</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县发改、财政、审计等部门和业主对项目资金的拨付和使用进行监督。</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代建管理机构应每季度向县政府和县发改、财政</w:t>
      </w:r>
      <w:r>
        <w:rPr>
          <w:rFonts w:hint="eastAsia" w:ascii="仿宋_GB2312" w:hAnsi="仿宋_GB2312" w:eastAsia="仿宋_GB2312" w:cs="仿宋_GB2312"/>
          <w:sz w:val="32"/>
          <w:szCs w:val="32"/>
        </w:rPr>
        <w:t>等部门及业主分别报送项目资金进度报表。</w:t>
      </w:r>
    </w:p>
    <w:p>
      <w:pPr>
        <w:spacing w:line="560" w:lineRule="exact"/>
        <w:ind w:firstLine="632" w:firstLineChars="200"/>
        <w:rPr>
          <w:rFonts w:hint="eastAsia" w:ascii="仿宋_GB2312" w:hAnsi="仿宋_GB2312" w:eastAsia="仿宋_GB2312" w:cs="仿宋_GB2312"/>
          <w:bCs/>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sz w:val="32"/>
          <w:szCs w:val="32"/>
        </w:rPr>
        <w:t>实行代建制的项目，按照财政部《关于印发〈基本建设项目建设成本管理规定〉的通知》（财建〔2016〕504号）计提代建管理费，代建管理费列入项目总投资成本。代建管理费的使用应当严格按照国家和省、市有关基本建设财务管理规定执行。</w:t>
      </w:r>
    </w:p>
    <w:p>
      <w:pPr>
        <w:pStyle w:val="10"/>
        <w:widowControl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代建管理机构负责根据项目前期工作的完成情况，在代建管理费中，按不超代建管理费总额的10%支付项目前期工作管理费用给业主。</w:t>
      </w:r>
    </w:p>
    <w:p>
      <w:pPr>
        <w:pStyle w:val="10"/>
        <w:widowControl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在业主与代建管理机构签订代建委托书后，县财政部门预付20%的代建管理费，项目实施阶段按工程进度同步支付，项目竣工验收后支付完毕。</w:t>
      </w:r>
    </w:p>
    <w:p>
      <w:pPr>
        <w:spacing w:line="560" w:lineRule="exact"/>
        <w:ind w:firstLine="632" w:firstLineChars="200"/>
        <w:rPr>
          <w:rFonts w:hint="eastAsia" w:ascii="仿宋_GB2312" w:hAnsi="仿宋_GB2312" w:eastAsia="仿宋_GB2312" w:cs="仿宋_GB2312"/>
          <w:bCs/>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sz w:val="32"/>
          <w:szCs w:val="32"/>
        </w:rPr>
        <w:t>代建管理机构应当建立健全代建项目信息网上公开制度，及时向社会公布代建项目的进展情况。</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color w:val="000000"/>
          <w:sz w:val="32"/>
          <w:szCs w:val="32"/>
        </w:rPr>
        <w:t xml:space="preserve"> 代建管理机构未按规定对代建项目开展招投标工作的，由县有关行政监督部门按照《中华人民共和国招标投标法》及其实施条例和《广东省实施〈中华人民共和国招标投标法〉办法》等有关规定进行处罚，县发改部门可暂停投资计划下达，县财政部门可暂停项目资金的拨付。</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color w:val="000000"/>
          <w:sz w:val="32"/>
          <w:szCs w:val="32"/>
        </w:rPr>
        <w:t xml:space="preserve"> 业主单位、代建管理机构及县有关行政机关不依法</w:t>
      </w:r>
      <w:r>
        <w:rPr>
          <w:rFonts w:hint="eastAsia" w:ascii="仿宋_GB2312" w:hAnsi="仿宋_GB2312" w:eastAsia="仿宋_GB2312" w:cs="仿宋_GB2312"/>
          <w:sz w:val="32"/>
          <w:szCs w:val="32"/>
        </w:rPr>
        <w:t>履行本办法规定职责的，</w:t>
      </w:r>
      <w:r>
        <w:rPr>
          <w:rFonts w:hint="eastAsia" w:ascii="仿宋_GB2312" w:hAnsi="仿宋_GB2312" w:eastAsia="仿宋_GB2312" w:cs="仿宋_GB2312"/>
          <w:color w:val="000000"/>
          <w:sz w:val="32"/>
          <w:szCs w:val="32"/>
        </w:rPr>
        <w:t>由其上级行政机关责令改正；造成代建项目投资失控、存在安全隐患、严重超工期等后果的，对直接负责的单位领导和其他直接责任人员</w:t>
      </w:r>
      <w:r>
        <w:rPr>
          <w:rFonts w:hint="eastAsia" w:ascii="仿宋_GB2312" w:hAnsi="仿宋_GB2312" w:eastAsia="仿宋_GB2312" w:cs="仿宋_GB2312"/>
          <w:color w:val="000000"/>
          <w:sz w:val="32"/>
          <w:szCs w:val="32"/>
          <w:lang w:val="en-US" w:eastAsia="zh-CN"/>
        </w:rPr>
        <w:t>依纪</w:t>
      </w:r>
      <w:r>
        <w:rPr>
          <w:rFonts w:hint="eastAsia" w:ascii="仿宋_GB2312" w:hAnsi="仿宋_GB2312" w:eastAsia="仿宋_GB2312" w:cs="仿宋_GB2312"/>
          <w:color w:val="000000"/>
          <w:sz w:val="32"/>
          <w:szCs w:val="32"/>
        </w:rPr>
        <w:t>依法给予</w:t>
      </w:r>
      <w:r>
        <w:rPr>
          <w:rFonts w:hint="eastAsia" w:ascii="仿宋_GB2312" w:hAnsi="仿宋_GB2312" w:eastAsia="仿宋_GB2312" w:cs="仿宋_GB2312"/>
          <w:color w:val="000000"/>
          <w:sz w:val="32"/>
          <w:szCs w:val="32"/>
          <w:lang w:val="en-US" w:eastAsia="zh-CN"/>
        </w:rPr>
        <w:t>党纪政务</w:t>
      </w:r>
      <w:r>
        <w:rPr>
          <w:rFonts w:hint="eastAsia" w:ascii="仿宋_GB2312" w:hAnsi="仿宋_GB2312" w:eastAsia="仿宋_GB2312" w:cs="仿宋_GB2312"/>
          <w:color w:val="000000"/>
          <w:sz w:val="32"/>
          <w:szCs w:val="32"/>
        </w:rPr>
        <w:t>处分；涉嫌犯罪的，移交司法部门追究相关责任人的刑事责任。</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color w:val="000000"/>
          <w:sz w:val="32"/>
          <w:szCs w:val="32"/>
        </w:rPr>
        <w:t xml:space="preserve"> 代建管理机构工作人员与勘察、设计、施工、监理、设备材料供应等单位串通、弄虚作假谋取不正当利益或降低工程质量等损害国家利益的，应</w:t>
      </w:r>
      <w:r>
        <w:rPr>
          <w:rFonts w:hint="eastAsia" w:ascii="仿宋_GB2312" w:hAnsi="仿宋_GB2312" w:eastAsia="仿宋_GB2312" w:cs="仿宋_GB2312"/>
          <w:color w:val="000000"/>
          <w:sz w:val="32"/>
          <w:szCs w:val="32"/>
          <w:lang w:val="en-US" w:eastAsia="zh-CN"/>
        </w:rPr>
        <w:t>依纪</w:t>
      </w:r>
      <w:r>
        <w:rPr>
          <w:rFonts w:hint="eastAsia" w:ascii="仿宋_GB2312" w:hAnsi="仿宋_GB2312" w:eastAsia="仿宋_GB2312" w:cs="仿宋_GB2312"/>
          <w:color w:val="000000"/>
          <w:sz w:val="32"/>
          <w:szCs w:val="32"/>
        </w:rPr>
        <w:t>依法追究相关责任人的行政责任；涉嫌犯罪的，移交司法机关追究相关责任人的刑事责任。</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color w:val="000000"/>
          <w:sz w:val="32"/>
          <w:szCs w:val="32"/>
        </w:rPr>
        <w:t xml:space="preserve"> 代建管理机构应当建立参建单位履约诚信评价体系，对参建单位在代建项目投资、质量、安全和工期进度控制等方面的履约诚信情况及服务态度等进行评价，评价结果报有关行政主管部门和招标管理部门，对造成投资失控、工期延误和质量安全事故的，代建管理机构应当根据合同约定，追究相关参建单位的违约责任。</w:t>
      </w:r>
    </w:p>
    <w:p>
      <w:pPr>
        <w:spacing w:line="560" w:lineRule="exact"/>
        <w:ind w:firstLine="632" w:firstLineChars="200"/>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w:t>
      </w:r>
      <w:r>
        <w:rPr>
          <w:rFonts w:hint="eastAsia" w:ascii="黑体" w:hAnsi="黑体" w:eastAsia="黑体" w:cs="黑体"/>
          <w:bCs/>
          <w:sz w:val="32"/>
          <w:szCs w:val="32"/>
        </w:rPr>
        <w:t>十条</w:t>
      </w:r>
      <w:r>
        <w:rPr>
          <w:rFonts w:hint="eastAsia" w:ascii="仿宋_GB2312" w:hAnsi="仿宋_GB2312" w:eastAsia="仿宋_GB2312" w:cs="仿宋_GB2312"/>
          <w:sz w:val="32"/>
          <w:szCs w:val="32"/>
        </w:rPr>
        <w:t xml:space="preserve"> 代建项目建设资金管理、代建项目投资节余奖励的具体办法由县财政部门、代建管理机构另行制定。</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color w:val="000000"/>
          <w:sz w:val="32"/>
          <w:szCs w:val="32"/>
        </w:rPr>
        <w:t xml:space="preserve"> 县政府指定相关部门实施项目代建工作的，参照本办法执行。</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color w:val="000000"/>
          <w:sz w:val="32"/>
          <w:szCs w:val="32"/>
        </w:rPr>
        <w:t xml:space="preserve"> 本办法自</w:t>
      </w:r>
      <w:r>
        <w:rPr>
          <w:rFonts w:hint="eastAsia" w:ascii="仿宋_GB2312" w:hAnsi="仿宋_GB2312" w:eastAsia="仿宋_GB2312" w:cs="仿宋_GB2312"/>
          <w:color w:val="auto"/>
          <w:sz w:val="32"/>
          <w:szCs w:val="32"/>
          <w:lang w:val="en-US" w:eastAsia="zh-CN"/>
        </w:rPr>
        <w:t>2022年9月1日</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000000"/>
          <w:sz w:val="32"/>
          <w:szCs w:val="32"/>
        </w:rPr>
        <w:t>施行，有效期五年。</w:t>
      </w:r>
    </w:p>
    <w:p>
      <w:pPr>
        <w:spacing w:line="600" w:lineRule="exact"/>
        <w:jc w:val="both"/>
        <w:textAlignment w:val="baseline"/>
        <w:rPr>
          <w:rStyle w:val="11"/>
          <w:rFonts w:ascii="黑体" w:hAnsi="黑体" w:eastAsia="黑体"/>
          <w:kern w:val="2"/>
          <w:sz w:val="32"/>
          <w:szCs w:val="32"/>
          <w:lang w:val="en-US" w:eastAsia="zh-CN" w:bidi="ar-SA"/>
        </w:rPr>
      </w:pPr>
    </w:p>
    <w:p>
      <w:pPr>
        <w:spacing w:line="600" w:lineRule="exact"/>
        <w:jc w:val="both"/>
        <w:textAlignment w:val="baseline"/>
        <w:rPr>
          <w:rStyle w:val="11"/>
          <w:rFonts w:ascii="黑体" w:hAnsi="黑体" w:eastAsia="黑体"/>
          <w:kern w:val="2"/>
          <w:sz w:val="32"/>
          <w:szCs w:val="32"/>
          <w:lang w:val="en-US" w:eastAsia="zh-CN" w:bidi="ar-SA"/>
        </w:rPr>
      </w:pPr>
    </w:p>
    <w:p>
      <w:pPr>
        <w:pStyle w:val="2"/>
        <w:rPr>
          <w:rStyle w:val="11"/>
          <w:rFonts w:ascii="黑体" w:hAnsi="黑体" w:eastAsia="黑体"/>
          <w:kern w:val="2"/>
          <w:sz w:val="32"/>
          <w:szCs w:val="32"/>
          <w:lang w:val="en-US" w:eastAsia="zh-CN" w:bidi="ar-SA"/>
        </w:rPr>
      </w:pPr>
    </w:p>
    <w:p>
      <w:pPr>
        <w:pStyle w:val="2"/>
        <w:rPr>
          <w:rStyle w:val="11"/>
          <w:rFonts w:ascii="黑体" w:hAnsi="黑体" w:eastAsia="黑体"/>
          <w:kern w:val="2"/>
          <w:sz w:val="32"/>
          <w:szCs w:val="32"/>
          <w:lang w:val="en-US" w:eastAsia="zh-CN" w:bidi="ar-SA"/>
        </w:rPr>
      </w:pPr>
    </w:p>
    <w:p>
      <w:pPr>
        <w:pStyle w:val="2"/>
        <w:rPr>
          <w:rStyle w:val="11"/>
          <w:rFonts w:ascii="黑体" w:hAnsi="黑体" w:eastAsia="黑体"/>
          <w:kern w:val="2"/>
          <w:sz w:val="32"/>
          <w:szCs w:val="32"/>
          <w:lang w:val="en-US" w:eastAsia="zh-CN" w:bidi="ar-SA"/>
        </w:rPr>
      </w:pPr>
    </w:p>
    <w:p>
      <w:pPr>
        <w:spacing w:line="600" w:lineRule="exact"/>
        <w:jc w:val="both"/>
        <w:textAlignment w:val="baseline"/>
        <w:rPr>
          <w:rStyle w:val="11"/>
          <w:rFonts w:ascii="黑体" w:hAnsi="黑体" w:eastAsia="黑体"/>
          <w:kern w:val="2"/>
          <w:sz w:val="32"/>
          <w:szCs w:val="32"/>
          <w:lang w:val="en-US" w:eastAsia="zh-CN" w:bidi="ar-SA"/>
        </w:rPr>
      </w:pPr>
    </w:p>
    <w:p>
      <w:pPr>
        <w:spacing w:line="600" w:lineRule="exact"/>
        <w:jc w:val="both"/>
        <w:textAlignment w:val="baseline"/>
        <w:rPr>
          <w:rStyle w:val="11"/>
          <w:rFonts w:ascii="仿宋_GB2312" w:hAnsi="黑体" w:eastAsia="仿宋_GB2312"/>
          <w:kern w:val="2"/>
          <w:sz w:val="32"/>
          <w:szCs w:val="32"/>
          <w:lang w:val="en-US" w:eastAsia="zh-CN" w:bidi="ar-SA"/>
        </w:rPr>
      </w:pPr>
      <w:r>
        <w:rPr>
          <w:rStyle w:val="11"/>
          <w:rFonts w:ascii="黑体" w:hAnsi="黑体" w:eastAsia="黑体"/>
          <w:kern w:val="2"/>
          <w:sz w:val="32"/>
          <w:szCs w:val="32"/>
          <w:lang w:val="en-US" w:eastAsia="zh-CN" w:bidi="ar-SA"/>
        </w:rPr>
        <w:t>公开方式：</w:t>
      </w:r>
      <w:r>
        <w:rPr>
          <w:rStyle w:val="11"/>
          <w:rFonts w:hint="eastAsia" w:ascii="仿宋_GB2312" w:hAnsi="仿宋_GB2312" w:eastAsia="仿宋_GB2312" w:cs="仿宋_GB2312"/>
          <w:kern w:val="2"/>
          <w:sz w:val="32"/>
          <w:szCs w:val="32"/>
          <w:lang w:val="en" w:eastAsia="zh-CN" w:bidi="ar-SA"/>
        </w:rPr>
        <w:t>主动</w:t>
      </w:r>
      <w:r>
        <w:rPr>
          <w:rStyle w:val="11"/>
          <w:rFonts w:hint="eastAsia" w:ascii="仿宋_GB2312" w:hAnsi="仿宋_GB2312" w:eastAsia="仿宋_GB2312" w:cs="仿宋_GB2312"/>
          <w:kern w:val="2"/>
          <w:sz w:val="32"/>
          <w:szCs w:val="32"/>
          <w:lang w:val="en-US" w:eastAsia="zh-CN" w:bidi="ar-SA"/>
        </w:rPr>
        <w:t>公开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cs="仿宋_GB2312"/>
          <w:lang w:val="en-US" w:eastAsia="zh-CN"/>
        </w:rPr>
      </w:pPr>
    </w:p>
    <w:tbl>
      <w:tblPr>
        <w:tblStyle w:val="8"/>
        <w:tblW w:w="9116"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911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622" w:hRule="atLeast"/>
          <w:jc w:val="center"/>
        </w:trPr>
        <w:tc>
          <w:tcPr>
            <w:tcW w:w="9116" w:type="dxa"/>
            <w:tcBorders>
              <w:tl2br w:val="nil"/>
              <w:tr2bl w:val="nil"/>
            </w:tcBorders>
            <w:noWrap w:val="0"/>
            <w:vAlign w:val="center"/>
          </w:tcPr>
          <w:p>
            <w:pPr>
              <w:tabs>
                <w:tab w:val="left" w:pos="7200"/>
              </w:tabs>
              <w:spacing w:line="516" w:lineRule="atLeast"/>
              <w:ind w:left="1248" w:leftChars="133" w:hanging="828" w:hangingChars="300"/>
              <w:jc w:val="both"/>
              <w:textAlignment w:val="baseline"/>
              <w:rPr>
                <w:rStyle w:val="11"/>
                <w:rFonts w:hint="eastAsia" w:ascii="仿宋_GB2312" w:eastAsia="仿宋_GB2312"/>
                <w:kern w:val="2"/>
                <w:sz w:val="28"/>
                <w:szCs w:val="28"/>
                <w:lang w:val="en-US" w:eastAsia="zh-CN" w:bidi="ar-SA"/>
              </w:rPr>
            </w:pPr>
            <w:r>
              <w:rPr>
                <w:rStyle w:val="11"/>
                <w:rFonts w:hint="eastAsia" w:ascii="仿宋_GB2312" w:eastAsia="仿宋_GB2312"/>
                <w:kern w:val="2"/>
                <w:sz w:val="28"/>
                <w:szCs w:val="28"/>
                <w:lang w:val="en-US" w:eastAsia="zh-CN" w:bidi="ar-SA"/>
              </w:rPr>
              <w:t>抄送：县委各部委办局，县人大办，县政协办，县纪委，县人民武装部，</w:t>
            </w:r>
          </w:p>
          <w:p>
            <w:pPr>
              <w:tabs>
                <w:tab w:val="left" w:pos="7200"/>
              </w:tabs>
              <w:spacing w:line="516" w:lineRule="atLeast"/>
              <w:ind w:firstLine="1242" w:firstLineChars="450"/>
              <w:jc w:val="both"/>
              <w:textAlignment w:val="baseline"/>
              <w:rPr>
                <w:rStyle w:val="11"/>
                <w:rFonts w:ascii="仿宋_GB2312" w:eastAsia="仿宋_GB2312"/>
                <w:kern w:val="2"/>
                <w:sz w:val="32"/>
                <w:szCs w:val="32"/>
                <w:lang w:val="en-US" w:eastAsia="zh-CN" w:bidi="ar-SA"/>
              </w:rPr>
            </w:pPr>
            <w:r>
              <w:rPr>
                <w:rStyle w:val="11"/>
                <w:rFonts w:hint="eastAsia" w:ascii="仿宋_GB2312" w:eastAsia="仿宋_GB2312"/>
                <w:kern w:val="2"/>
                <w:sz w:val="28"/>
                <w:szCs w:val="28"/>
                <w:lang w:val="en-US" w:eastAsia="zh-CN" w:bidi="ar-SA"/>
              </w:rPr>
              <w:t>县法院，县检察院。</w:t>
            </w:r>
            <w:bookmarkStart w:id="0" w:name="_GoBack"/>
            <w:bookmarkEnd w:id="0"/>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622" w:hRule="atLeast"/>
          <w:jc w:val="center"/>
        </w:trPr>
        <w:tc>
          <w:tcPr>
            <w:tcW w:w="9116" w:type="dxa"/>
            <w:tcBorders>
              <w:tl2br w:val="nil"/>
              <w:tr2bl w:val="nil"/>
            </w:tcBorders>
            <w:noWrap w:val="0"/>
            <w:vAlign w:val="center"/>
          </w:tcPr>
          <w:p>
            <w:pPr>
              <w:tabs>
                <w:tab w:val="left" w:pos="7200"/>
              </w:tabs>
              <w:spacing w:line="516" w:lineRule="atLeast"/>
              <w:ind w:firstLine="276" w:firstLineChars="100"/>
              <w:jc w:val="both"/>
              <w:textAlignment w:val="baseline"/>
              <w:rPr>
                <w:rStyle w:val="11"/>
                <w:rFonts w:ascii="仿宋_GB2312" w:eastAsia="仿宋_GB2312"/>
                <w:kern w:val="2"/>
                <w:sz w:val="28"/>
                <w:szCs w:val="28"/>
                <w:lang w:val="en-US" w:eastAsia="zh-CN" w:bidi="ar-SA"/>
              </w:rPr>
            </w:pPr>
            <w:r>
              <w:rPr>
                <w:rStyle w:val="11"/>
                <w:rFonts w:ascii="仿宋_GB2312" w:eastAsia="仿宋_GB2312"/>
                <w:kern w:val="2"/>
                <w:sz w:val="28"/>
                <w:szCs w:val="28"/>
                <w:lang w:val="en-US" w:eastAsia="zh-CN" w:bidi="ar-SA"/>
              </w:rPr>
              <w:t xml:space="preserve">翁源县人民政府办公室              </w:t>
            </w:r>
            <w:r>
              <w:rPr>
                <w:rStyle w:val="11"/>
                <w:rFonts w:hint="eastAsia" w:ascii="仿宋_GB2312" w:eastAsia="仿宋_GB2312"/>
                <w:kern w:val="2"/>
                <w:sz w:val="28"/>
                <w:szCs w:val="28"/>
                <w:lang w:val="en-US" w:eastAsia="zh-CN" w:bidi="ar-SA"/>
              </w:rPr>
              <w:t xml:space="preserve">    </w:t>
            </w:r>
            <w:r>
              <w:rPr>
                <w:rStyle w:val="11"/>
                <w:rFonts w:hint="default" w:ascii="仿宋_GB2312"/>
                <w:kern w:val="2"/>
                <w:sz w:val="28"/>
                <w:szCs w:val="28"/>
                <w:lang w:val="en" w:eastAsia="zh-CN" w:bidi="ar-SA"/>
              </w:rPr>
              <w:t xml:space="preserve">   </w:t>
            </w:r>
            <w:r>
              <w:rPr>
                <w:rStyle w:val="11"/>
                <w:rFonts w:hint="eastAsia" w:ascii="仿宋_GB2312" w:eastAsia="仿宋_GB2312"/>
                <w:kern w:val="2"/>
                <w:sz w:val="28"/>
                <w:szCs w:val="28"/>
                <w:lang w:val="en-US" w:eastAsia="zh-CN" w:bidi="ar-SA"/>
              </w:rPr>
              <w:t xml:space="preserve"> </w:t>
            </w:r>
            <w:r>
              <w:rPr>
                <w:rStyle w:val="11"/>
                <w:rFonts w:ascii="仿宋_GB2312" w:eastAsia="仿宋_GB2312"/>
                <w:kern w:val="2"/>
                <w:sz w:val="28"/>
                <w:szCs w:val="28"/>
                <w:lang w:val="en-US" w:eastAsia="zh-CN" w:bidi="ar-SA"/>
              </w:rPr>
              <w:t>202</w:t>
            </w:r>
            <w:r>
              <w:rPr>
                <w:rStyle w:val="11"/>
                <w:rFonts w:hint="eastAsia" w:ascii="仿宋_GB2312"/>
                <w:kern w:val="2"/>
                <w:sz w:val="28"/>
                <w:szCs w:val="28"/>
                <w:lang w:val="en-US" w:eastAsia="zh-CN" w:bidi="ar-SA"/>
              </w:rPr>
              <w:t>2</w:t>
            </w:r>
            <w:r>
              <w:rPr>
                <w:rStyle w:val="11"/>
                <w:rFonts w:ascii="仿宋_GB2312" w:eastAsia="仿宋_GB2312"/>
                <w:kern w:val="2"/>
                <w:sz w:val="28"/>
                <w:szCs w:val="28"/>
                <w:lang w:val="en-US" w:eastAsia="zh-CN" w:bidi="ar-SA"/>
              </w:rPr>
              <w:t>年</w:t>
            </w:r>
            <w:r>
              <w:rPr>
                <w:rStyle w:val="11"/>
                <w:rFonts w:hint="eastAsia" w:ascii="仿宋_GB2312" w:eastAsia="仿宋_GB2312"/>
                <w:kern w:val="2"/>
                <w:sz w:val="28"/>
                <w:szCs w:val="28"/>
                <w:lang w:val="en-US" w:eastAsia="zh-CN" w:bidi="ar-SA"/>
              </w:rPr>
              <w:t>7</w:t>
            </w:r>
            <w:r>
              <w:rPr>
                <w:rStyle w:val="11"/>
                <w:rFonts w:ascii="仿宋_GB2312" w:eastAsia="仿宋_GB2312"/>
                <w:kern w:val="2"/>
                <w:sz w:val="28"/>
                <w:szCs w:val="28"/>
                <w:lang w:val="en-US" w:eastAsia="zh-CN" w:bidi="ar-SA"/>
              </w:rPr>
              <w:t>月</w:t>
            </w:r>
            <w:r>
              <w:rPr>
                <w:rStyle w:val="11"/>
                <w:rFonts w:hint="default" w:ascii="仿宋_GB2312"/>
                <w:kern w:val="2"/>
                <w:sz w:val="28"/>
                <w:szCs w:val="28"/>
                <w:lang w:val="en" w:eastAsia="zh-CN" w:bidi="ar-SA"/>
              </w:rPr>
              <w:t>15</w:t>
            </w:r>
            <w:r>
              <w:rPr>
                <w:rStyle w:val="11"/>
                <w:rFonts w:ascii="仿宋_GB2312" w:eastAsia="仿宋_GB2312"/>
                <w:kern w:val="2"/>
                <w:sz w:val="28"/>
                <w:szCs w:val="28"/>
                <w:lang w:val="en-US" w:eastAsia="zh-CN" w:bidi="ar-SA"/>
              </w:rPr>
              <w:t>日印发</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 w:lineRule="exact"/>
        <w:textAlignment w:val="auto"/>
        <w:rPr>
          <w:rFonts w:hint="default" w:ascii="仿宋_GB2312" w:hAnsi="仿宋_GB2312" w:eastAsia="仿宋_GB2312" w:cs="仿宋_GB2312"/>
          <w:color w:val="auto"/>
          <w:kern w:val="2"/>
          <w:sz w:val="32"/>
          <w:szCs w:val="32"/>
          <w:lang w:val="en-US" w:eastAsia="zh-CN" w:bidi="ar-SA"/>
        </w:rPr>
      </w:pPr>
    </w:p>
    <w:sectPr>
      <w:footerReference r:id="rId3" w:type="default"/>
      <w:pgSz w:w="11906" w:h="16838"/>
      <w:pgMar w:top="2098" w:right="1474" w:bottom="1984" w:left="1587" w:header="851" w:footer="158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3FF2E3-5B6A-4721-A259-2CB3E045B4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6FD7B6E-5BED-4375-9EE6-E5C9D926DC7F}"/>
  </w:font>
  <w:font w:name="仿宋_GB2312">
    <w:altName w:val="仿宋"/>
    <w:panose1 w:val="02010609030101010101"/>
    <w:charset w:val="86"/>
    <w:family w:val="modern"/>
    <w:pitch w:val="default"/>
    <w:sig w:usb0="00000000" w:usb1="00000000" w:usb2="00000000" w:usb3="00000000" w:csb0="00040000" w:csb1="00000000"/>
    <w:embedRegular r:id="rId3" w:fontKey="{2D33181B-95D2-4E44-8390-87A2DA966567}"/>
  </w:font>
  <w:font w:name="方正小标宋简体">
    <w:altName w:val="黑体"/>
    <w:panose1 w:val="02000000000000000000"/>
    <w:charset w:val="86"/>
    <w:family w:val="auto"/>
    <w:pitch w:val="default"/>
    <w:sig w:usb0="00000000" w:usb1="00000000" w:usb2="00000012" w:usb3="00000000" w:csb0="00040001" w:csb1="00000000"/>
    <w:embedRegular r:id="rId4" w:fontKey="{622ECB03-BF67-44F6-81EB-9D2E4DB3DFE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60288;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tKJ3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  \* MERGEFORMAT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1</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ODliZTJhNDJmZmYzNDQ2MzNmOWIyZDkyNjU1N2UifQ=="/>
  </w:docVars>
  <w:rsids>
    <w:rsidRoot w:val="4201203C"/>
    <w:rsid w:val="00060BCF"/>
    <w:rsid w:val="006F2127"/>
    <w:rsid w:val="008A4B90"/>
    <w:rsid w:val="01F20C2D"/>
    <w:rsid w:val="020E2058"/>
    <w:rsid w:val="02104F7F"/>
    <w:rsid w:val="02121319"/>
    <w:rsid w:val="025B2DC4"/>
    <w:rsid w:val="026C78D3"/>
    <w:rsid w:val="027A221C"/>
    <w:rsid w:val="029C502B"/>
    <w:rsid w:val="02CA54A7"/>
    <w:rsid w:val="03165668"/>
    <w:rsid w:val="035F28FF"/>
    <w:rsid w:val="037A4105"/>
    <w:rsid w:val="037C08EB"/>
    <w:rsid w:val="03A67BA5"/>
    <w:rsid w:val="03B60F38"/>
    <w:rsid w:val="05544CAF"/>
    <w:rsid w:val="059752DE"/>
    <w:rsid w:val="060A7D56"/>
    <w:rsid w:val="06B869C0"/>
    <w:rsid w:val="06D52F08"/>
    <w:rsid w:val="06E94E42"/>
    <w:rsid w:val="07C66F31"/>
    <w:rsid w:val="07EC27BD"/>
    <w:rsid w:val="08471A8B"/>
    <w:rsid w:val="08715374"/>
    <w:rsid w:val="08757584"/>
    <w:rsid w:val="08BD2BA3"/>
    <w:rsid w:val="08C867E7"/>
    <w:rsid w:val="0940389C"/>
    <w:rsid w:val="09B05B6A"/>
    <w:rsid w:val="09DA31CE"/>
    <w:rsid w:val="0A5024C4"/>
    <w:rsid w:val="0A6F4223"/>
    <w:rsid w:val="0B230693"/>
    <w:rsid w:val="0B6B389C"/>
    <w:rsid w:val="0B8C54F8"/>
    <w:rsid w:val="0BBF44F5"/>
    <w:rsid w:val="0C1113BD"/>
    <w:rsid w:val="0C673DE2"/>
    <w:rsid w:val="0C9A3091"/>
    <w:rsid w:val="0CF85DDF"/>
    <w:rsid w:val="0D1A101C"/>
    <w:rsid w:val="0D4068C0"/>
    <w:rsid w:val="0DA96A95"/>
    <w:rsid w:val="0DB37F58"/>
    <w:rsid w:val="0E19600D"/>
    <w:rsid w:val="0E680D42"/>
    <w:rsid w:val="0F0B5B72"/>
    <w:rsid w:val="0F6950DE"/>
    <w:rsid w:val="0F7F4595"/>
    <w:rsid w:val="0F951991"/>
    <w:rsid w:val="0FD7617F"/>
    <w:rsid w:val="104F18EF"/>
    <w:rsid w:val="107E4EDC"/>
    <w:rsid w:val="117B4DCB"/>
    <w:rsid w:val="11916F3D"/>
    <w:rsid w:val="11B03C20"/>
    <w:rsid w:val="11F92554"/>
    <w:rsid w:val="128A5770"/>
    <w:rsid w:val="12C56763"/>
    <w:rsid w:val="133D049E"/>
    <w:rsid w:val="13E41842"/>
    <w:rsid w:val="1433798C"/>
    <w:rsid w:val="14EA596E"/>
    <w:rsid w:val="158140D9"/>
    <w:rsid w:val="158C598F"/>
    <w:rsid w:val="15A80E34"/>
    <w:rsid w:val="15C376B5"/>
    <w:rsid w:val="15E23662"/>
    <w:rsid w:val="16177C04"/>
    <w:rsid w:val="175E3DD3"/>
    <w:rsid w:val="17824C23"/>
    <w:rsid w:val="17982698"/>
    <w:rsid w:val="179D29B2"/>
    <w:rsid w:val="187349DE"/>
    <w:rsid w:val="191602FC"/>
    <w:rsid w:val="19CA11CA"/>
    <w:rsid w:val="19DD1468"/>
    <w:rsid w:val="1A0933D9"/>
    <w:rsid w:val="1A1260CC"/>
    <w:rsid w:val="1A78230D"/>
    <w:rsid w:val="1AB31738"/>
    <w:rsid w:val="1AD243F6"/>
    <w:rsid w:val="1B0A037C"/>
    <w:rsid w:val="1B612549"/>
    <w:rsid w:val="1B76354C"/>
    <w:rsid w:val="1BD928BC"/>
    <w:rsid w:val="1BFD6F6E"/>
    <w:rsid w:val="1C113A23"/>
    <w:rsid w:val="1C2B0666"/>
    <w:rsid w:val="1C7D1E5D"/>
    <w:rsid w:val="1C7E1FCB"/>
    <w:rsid w:val="1CCC2F04"/>
    <w:rsid w:val="1D7E40DE"/>
    <w:rsid w:val="1D801C57"/>
    <w:rsid w:val="1DAE4F36"/>
    <w:rsid w:val="1DD37E25"/>
    <w:rsid w:val="1DD427DD"/>
    <w:rsid w:val="1DDB565E"/>
    <w:rsid w:val="1E37603B"/>
    <w:rsid w:val="1E393582"/>
    <w:rsid w:val="1E4E03A5"/>
    <w:rsid w:val="1EC22C72"/>
    <w:rsid w:val="1EC76607"/>
    <w:rsid w:val="1ED0096A"/>
    <w:rsid w:val="1F444EB4"/>
    <w:rsid w:val="1FAE2068"/>
    <w:rsid w:val="1FC42CB7"/>
    <w:rsid w:val="1FCC2D6E"/>
    <w:rsid w:val="1FD475F2"/>
    <w:rsid w:val="202A1834"/>
    <w:rsid w:val="20CD4C35"/>
    <w:rsid w:val="21EF6E36"/>
    <w:rsid w:val="221B4B84"/>
    <w:rsid w:val="22D63E5A"/>
    <w:rsid w:val="23483414"/>
    <w:rsid w:val="23847F75"/>
    <w:rsid w:val="240E2D60"/>
    <w:rsid w:val="247734C6"/>
    <w:rsid w:val="24BC54EC"/>
    <w:rsid w:val="24CD581B"/>
    <w:rsid w:val="251A4448"/>
    <w:rsid w:val="251F6733"/>
    <w:rsid w:val="25BB4E81"/>
    <w:rsid w:val="26537BBE"/>
    <w:rsid w:val="266122C8"/>
    <w:rsid w:val="272A0E33"/>
    <w:rsid w:val="27BD1CA7"/>
    <w:rsid w:val="27DA0163"/>
    <w:rsid w:val="2967011C"/>
    <w:rsid w:val="2AD14B24"/>
    <w:rsid w:val="2AF0585F"/>
    <w:rsid w:val="2BAF7B59"/>
    <w:rsid w:val="2C2045B2"/>
    <w:rsid w:val="2C4913BE"/>
    <w:rsid w:val="2C5C4A11"/>
    <w:rsid w:val="2CA7701C"/>
    <w:rsid w:val="2D15110F"/>
    <w:rsid w:val="2D17387B"/>
    <w:rsid w:val="2D246943"/>
    <w:rsid w:val="2D393068"/>
    <w:rsid w:val="2DD92C6B"/>
    <w:rsid w:val="2DDE04E0"/>
    <w:rsid w:val="2E096A2E"/>
    <w:rsid w:val="2E9B6C1C"/>
    <w:rsid w:val="2EBC4A66"/>
    <w:rsid w:val="2F210091"/>
    <w:rsid w:val="2F830415"/>
    <w:rsid w:val="2F8337D6"/>
    <w:rsid w:val="2FAD0853"/>
    <w:rsid w:val="2FC9193C"/>
    <w:rsid w:val="308C2CB6"/>
    <w:rsid w:val="31920DD6"/>
    <w:rsid w:val="325B483E"/>
    <w:rsid w:val="33291F9F"/>
    <w:rsid w:val="333E671D"/>
    <w:rsid w:val="33D56883"/>
    <w:rsid w:val="34014CC9"/>
    <w:rsid w:val="343B7960"/>
    <w:rsid w:val="34505316"/>
    <w:rsid w:val="35181FC1"/>
    <w:rsid w:val="353C625C"/>
    <w:rsid w:val="3546582A"/>
    <w:rsid w:val="35BB4971"/>
    <w:rsid w:val="35CF1217"/>
    <w:rsid w:val="35E44808"/>
    <w:rsid w:val="36120028"/>
    <w:rsid w:val="362D2E93"/>
    <w:rsid w:val="364D29D3"/>
    <w:rsid w:val="36BC4F1D"/>
    <w:rsid w:val="36C74E75"/>
    <w:rsid w:val="36D80347"/>
    <w:rsid w:val="370A02B1"/>
    <w:rsid w:val="371B322B"/>
    <w:rsid w:val="374134DA"/>
    <w:rsid w:val="3755384F"/>
    <w:rsid w:val="37EC04A1"/>
    <w:rsid w:val="37F37919"/>
    <w:rsid w:val="387B6AFC"/>
    <w:rsid w:val="38EF29EF"/>
    <w:rsid w:val="39085140"/>
    <w:rsid w:val="392D4A8C"/>
    <w:rsid w:val="39904A7C"/>
    <w:rsid w:val="39980B33"/>
    <w:rsid w:val="3AB0424E"/>
    <w:rsid w:val="3AE73C80"/>
    <w:rsid w:val="3B0F4170"/>
    <w:rsid w:val="3B675D5A"/>
    <w:rsid w:val="3BCD6E05"/>
    <w:rsid w:val="3BFF30BE"/>
    <w:rsid w:val="3CA01523"/>
    <w:rsid w:val="3D626E4A"/>
    <w:rsid w:val="3DF535E5"/>
    <w:rsid w:val="3EA71F35"/>
    <w:rsid w:val="3F00274D"/>
    <w:rsid w:val="3F6C36E1"/>
    <w:rsid w:val="400E0E9A"/>
    <w:rsid w:val="4031430D"/>
    <w:rsid w:val="40AC666E"/>
    <w:rsid w:val="41D512DC"/>
    <w:rsid w:val="4201203C"/>
    <w:rsid w:val="42E817C6"/>
    <w:rsid w:val="43482073"/>
    <w:rsid w:val="43CB1779"/>
    <w:rsid w:val="43D76A9E"/>
    <w:rsid w:val="4400140A"/>
    <w:rsid w:val="44F85C75"/>
    <w:rsid w:val="45723D4D"/>
    <w:rsid w:val="45822F0E"/>
    <w:rsid w:val="45B62260"/>
    <w:rsid w:val="45CA379C"/>
    <w:rsid w:val="463B22BD"/>
    <w:rsid w:val="46570669"/>
    <w:rsid w:val="46E62E86"/>
    <w:rsid w:val="474B2C23"/>
    <w:rsid w:val="47A255C5"/>
    <w:rsid w:val="47E6559A"/>
    <w:rsid w:val="4880045B"/>
    <w:rsid w:val="48BB2111"/>
    <w:rsid w:val="48CE0160"/>
    <w:rsid w:val="4911255B"/>
    <w:rsid w:val="491867F3"/>
    <w:rsid w:val="4961028C"/>
    <w:rsid w:val="497C65A6"/>
    <w:rsid w:val="497F0115"/>
    <w:rsid w:val="498B23A8"/>
    <w:rsid w:val="49B13CE4"/>
    <w:rsid w:val="4A247B00"/>
    <w:rsid w:val="4A97055A"/>
    <w:rsid w:val="4AB75CF4"/>
    <w:rsid w:val="4AD65BA5"/>
    <w:rsid w:val="4B026900"/>
    <w:rsid w:val="4B2652EA"/>
    <w:rsid w:val="4C0D521C"/>
    <w:rsid w:val="4C466B6D"/>
    <w:rsid w:val="4C4F261E"/>
    <w:rsid w:val="4C8B29B1"/>
    <w:rsid w:val="4D28679C"/>
    <w:rsid w:val="4D6742B3"/>
    <w:rsid w:val="4E0E6F78"/>
    <w:rsid w:val="4FC14AB3"/>
    <w:rsid w:val="50334300"/>
    <w:rsid w:val="507B7E86"/>
    <w:rsid w:val="516D5817"/>
    <w:rsid w:val="51AE7DE7"/>
    <w:rsid w:val="532C602C"/>
    <w:rsid w:val="539024FF"/>
    <w:rsid w:val="542B742F"/>
    <w:rsid w:val="547141AB"/>
    <w:rsid w:val="54E972D8"/>
    <w:rsid w:val="552B0773"/>
    <w:rsid w:val="556A3A0D"/>
    <w:rsid w:val="55824AA4"/>
    <w:rsid w:val="560B140B"/>
    <w:rsid w:val="56B70E91"/>
    <w:rsid w:val="57292419"/>
    <w:rsid w:val="573A3ECB"/>
    <w:rsid w:val="576C60DB"/>
    <w:rsid w:val="58255D06"/>
    <w:rsid w:val="584D2D67"/>
    <w:rsid w:val="586C5493"/>
    <w:rsid w:val="58AA1F2B"/>
    <w:rsid w:val="591E0896"/>
    <w:rsid w:val="59285E7C"/>
    <w:rsid w:val="59841A7F"/>
    <w:rsid w:val="59B37BDC"/>
    <w:rsid w:val="5A053DBA"/>
    <w:rsid w:val="5A056A12"/>
    <w:rsid w:val="5A8C378A"/>
    <w:rsid w:val="5B1972E9"/>
    <w:rsid w:val="5B482D2C"/>
    <w:rsid w:val="5BD2789F"/>
    <w:rsid w:val="5BFE1DC4"/>
    <w:rsid w:val="5C2611ED"/>
    <w:rsid w:val="5C537C26"/>
    <w:rsid w:val="5CFB58AD"/>
    <w:rsid w:val="5CFC40FC"/>
    <w:rsid w:val="5D0F2DB4"/>
    <w:rsid w:val="5D133477"/>
    <w:rsid w:val="5D190813"/>
    <w:rsid w:val="5D4D0828"/>
    <w:rsid w:val="5DC32544"/>
    <w:rsid w:val="5DF3673E"/>
    <w:rsid w:val="5E4D3E6B"/>
    <w:rsid w:val="5E893556"/>
    <w:rsid w:val="5EA47448"/>
    <w:rsid w:val="5EB53856"/>
    <w:rsid w:val="5ECD4C0B"/>
    <w:rsid w:val="5ED401EB"/>
    <w:rsid w:val="5ED90C69"/>
    <w:rsid w:val="5EF26B34"/>
    <w:rsid w:val="5F394329"/>
    <w:rsid w:val="5F4B21FA"/>
    <w:rsid w:val="5FDD2554"/>
    <w:rsid w:val="60062C46"/>
    <w:rsid w:val="604A1623"/>
    <w:rsid w:val="60575AEE"/>
    <w:rsid w:val="60E6240D"/>
    <w:rsid w:val="61193C3F"/>
    <w:rsid w:val="61524B93"/>
    <w:rsid w:val="6171700B"/>
    <w:rsid w:val="61794464"/>
    <w:rsid w:val="618429D4"/>
    <w:rsid w:val="61A84853"/>
    <w:rsid w:val="61D76EE6"/>
    <w:rsid w:val="629E301B"/>
    <w:rsid w:val="63512CC8"/>
    <w:rsid w:val="63A76A50"/>
    <w:rsid w:val="63C00203"/>
    <w:rsid w:val="63FA53A5"/>
    <w:rsid w:val="6481104B"/>
    <w:rsid w:val="654E045D"/>
    <w:rsid w:val="65A6554D"/>
    <w:rsid w:val="65E26DE1"/>
    <w:rsid w:val="661F441E"/>
    <w:rsid w:val="679F48CC"/>
    <w:rsid w:val="67AE2497"/>
    <w:rsid w:val="67FD72B5"/>
    <w:rsid w:val="68541720"/>
    <w:rsid w:val="68C30012"/>
    <w:rsid w:val="69CC4255"/>
    <w:rsid w:val="69D34437"/>
    <w:rsid w:val="6A9A4707"/>
    <w:rsid w:val="6AA77621"/>
    <w:rsid w:val="6AE12FF8"/>
    <w:rsid w:val="6B113469"/>
    <w:rsid w:val="6C680E9E"/>
    <w:rsid w:val="6C6D2B90"/>
    <w:rsid w:val="6C715D7A"/>
    <w:rsid w:val="6C81461E"/>
    <w:rsid w:val="6C8F792C"/>
    <w:rsid w:val="6CAA3CD5"/>
    <w:rsid w:val="6CC06756"/>
    <w:rsid w:val="6CF176B2"/>
    <w:rsid w:val="6CF6779C"/>
    <w:rsid w:val="6D3234C8"/>
    <w:rsid w:val="6D35162D"/>
    <w:rsid w:val="6D517D3E"/>
    <w:rsid w:val="6DAB7E36"/>
    <w:rsid w:val="6DF463FF"/>
    <w:rsid w:val="6E0B3411"/>
    <w:rsid w:val="6E29682C"/>
    <w:rsid w:val="6E5F539A"/>
    <w:rsid w:val="6E65635A"/>
    <w:rsid w:val="6F3A7C92"/>
    <w:rsid w:val="6F4D1C04"/>
    <w:rsid w:val="6F595014"/>
    <w:rsid w:val="6F7A2FAA"/>
    <w:rsid w:val="6FC8652E"/>
    <w:rsid w:val="6FFC508E"/>
    <w:rsid w:val="701D01BA"/>
    <w:rsid w:val="703947D7"/>
    <w:rsid w:val="71214C6B"/>
    <w:rsid w:val="72037883"/>
    <w:rsid w:val="72142F4C"/>
    <w:rsid w:val="72300A65"/>
    <w:rsid w:val="72345FDA"/>
    <w:rsid w:val="72380547"/>
    <w:rsid w:val="7269268F"/>
    <w:rsid w:val="72760055"/>
    <w:rsid w:val="727925C9"/>
    <w:rsid w:val="72F15A56"/>
    <w:rsid w:val="72F83EC7"/>
    <w:rsid w:val="73006D36"/>
    <w:rsid w:val="73F3740F"/>
    <w:rsid w:val="75C044F8"/>
    <w:rsid w:val="7629090F"/>
    <w:rsid w:val="7677439C"/>
    <w:rsid w:val="76CC0C68"/>
    <w:rsid w:val="76DA49EB"/>
    <w:rsid w:val="76FC2F56"/>
    <w:rsid w:val="77613AD9"/>
    <w:rsid w:val="776E579F"/>
    <w:rsid w:val="777C7EBC"/>
    <w:rsid w:val="779E2891"/>
    <w:rsid w:val="785B0F05"/>
    <w:rsid w:val="7869116B"/>
    <w:rsid w:val="78B13401"/>
    <w:rsid w:val="78B33EA2"/>
    <w:rsid w:val="79156B1A"/>
    <w:rsid w:val="79497168"/>
    <w:rsid w:val="795566FF"/>
    <w:rsid w:val="79FE72AE"/>
    <w:rsid w:val="7AA80AB6"/>
    <w:rsid w:val="7AEE32D5"/>
    <w:rsid w:val="7AFE5EB8"/>
    <w:rsid w:val="7B1356CB"/>
    <w:rsid w:val="7B1A0369"/>
    <w:rsid w:val="7B5A4FF6"/>
    <w:rsid w:val="7B9112E5"/>
    <w:rsid w:val="7B99085F"/>
    <w:rsid w:val="7BD418B6"/>
    <w:rsid w:val="7CFE7294"/>
    <w:rsid w:val="7D623129"/>
    <w:rsid w:val="7D6A129E"/>
    <w:rsid w:val="7D7F1DF4"/>
    <w:rsid w:val="7D920ABD"/>
    <w:rsid w:val="7EA111FA"/>
    <w:rsid w:val="7EC363A2"/>
    <w:rsid w:val="7ED96E5D"/>
    <w:rsid w:val="7FAB735C"/>
    <w:rsid w:val="7FC64A8F"/>
    <w:rsid w:val="7FFFB893"/>
    <w:rsid w:val="7FFFFE1D"/>
    <w:rsid w:val="9FFFBCE2"/>
    <w:rsid w:val="D7FFABA2"/>
    <w:rsid w:val="EBDD2E4C"/>
    <w:rsid w:val="EFBE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宋体"/>
      <w:kern w:val="2"/>
      <w:sz w:val="21"/>
      <w:szCs w:val="24"/>
      <w:lang w:val="en-US" w:eastAsia="zh-CN" w:bidi="ar-SA"/>
    </w:rPr>
  </w:style>
  <w:style w:type="paragraph" w:styleId="3">
    <w:name w:val="Body Text Indent"/>
    <w:basedOn w:val="1"/>
    <w:qFormat/>
    <w:uiPriority w:val="0"/>
    <w:pPr>
      <w:adjustRightInd w:val="0"/>
      <w:snapToGrid w:val="0"/>
      <w:spacing w:line="600" w:lineRule="exact"/>
      <w:ind w:firstLine="501" w:firstLineChars="179"/>
    </w:pPr>
    <w:rPr>
      <w:rFonts w:ascii="仿宋_GB2312"/>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paragraph" w:customStyle="1" w:styleId="10">
    <w:name w:val="p0"/>
    <w:basedOn w:val="1"/>
    <w:qFormat/>
    <w:uiPriority w:val="0"/>
    <w:pPr>
      <w:widowControl/>
    </w:pPr>
    <w:rPr>
      <w:rFonts w:ascii="Calibri" w:hAnsi="Calibri" w:eastAsia="宋体" w:cs="宋体"/>
      <w:kern w:val="0"/>
      <w:sz w:val="21"/>
      <w:szCs w:val="21"/>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4463</Words>
  <Characters>4505</Characters>
  <Lines>0</Lines>
  <Paragraphs>0</Paragraphs>
  <TotalTime>5</TotalTime>
  <ScaleCrop>false</ScaleCrop>
  <LinksUpToDate>false</LinksUpToDate>
  <CharactersWithSpaces>4566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2021-10-03T02:11:00Z</dcterms:created>
  <dc:creator>Dengjing17</dc:creator>
  <cp:lastModifiedBy>对方正在输入中......</cp:lastModifiedBy>
  <cp:lastPrinted>2022-07-09T14:56:00Z</cp:lastPrinted>
  <dcterms:modified xsi:type="dcterms:W3CDTF">2023-08-19T02:29:05Z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0F1F556E569846C7BA5B97D5645555B9</vt:lpwstr>
  </property>
  <property fmtid="{D5CDD505-2E9C-101B-9397-08002B2CF9AE}" pid="4" name="ribbonExt">
    <vt:lpwstr>{"WPSExtOfficeTab":{"OnGetEnabled":false,"OnGetVisible":false}}</vt:lpwstr>
  </property>
</Properties>
</file>