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adjustRightInd/>
        <w:snapToGrid/>
        <w:spacing w:line="6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20"/>
          <w:sz w:val="44"/>
          <w:szCs w:val="44"/>
        </w:rPr>
        <w:t>翁源县应急管理局2021年法治政府建设年度报告</w:t>
      </w:r>
    </w:p>
    <w:p>
      <w:pPr>
        <w:pStyle w:val="2"/>
        <w:keepNext w:val="0"/>
        <w:keepLines w:val="0"/>
        <w:pageBreakBefore w:val="0"/>
        <w:widowControl w:val="0"/>
        <w:kinsoku/>
        <w:wordWrap/>
        <w:overflowPunct/>
        <w:topLinePunct w:val="0"/>
        <w:autoSpaceDE w:val="0"/>
        <w:autoSpaceDN w:val="0"/>
        <w:bidi w:val="0"/>
        <w:adjustRightInd/>
        <w:snapToGrid/>
        <w:spacing w:line="560" w:lineRule="exact"/>
        <w:textAlignment w:val="auto"/>
      </w:pPr>
    </w:p>
    <w:p>
      <w:pPr>
        <w:pStyle w:val="2"/>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textAlignment w:val="auto"/>
        <w:rPr>
          <w:rFonts w:hint="eastAsia" w:ascii="仿宋_GB2312" w:hAnsi="仿宋_GB2312" w:cs="仿宋_GB2312"/>
          <w:sz w:val="32"/>
          <w:szCs w:val="32"/>
          <w:lang w:val="en-US" w:eastAsia="zh-CN"/>
        </w:rPr>
      </w:pPr>
      <w:r>
        <w:rPr>
          <w:rFonts w:hint="eastAsia" w:cs="仿宋_GB2312"/>
          <w:sz w:val="32"/>
          <w:szCs w:val="32"/>
          <w:lang w:val="en-US" w:eastAsia="zh-CN"/>
        </w:rPr>
        <w:t>2021年，</w:t>
      </w:r>
      <w:r>
        <w:rPr>
          <w:rFonts w:hint="eastAsia" w:ascii="仿宋_GB2312" w:hAnsi="仿宋_GB2312" w:cs="仿宋_GB2312"/>
          <w:sz w:val="32"/>
          <w:szCs w:val="32"/>
          <w:lang w:val="en-US" w:eastAsia="zh-CN"/>
        </w:rPr>
        <w:t>县应急管理局法治政府建设工作在县委、县政府的坚强领导和县</w:t>
      </w:r>
      <w:r>
        <w:rPr>
          <w:rFonts w:hint="eastAsia" w:cs="仿宋_GB2312"/>
          <w:sz w:val="32"/>
          <w:szCs w:val="32"/>
          <w:lang w:val="en-US" w:eastAsia="zh-CN"/>
        </w:rPr>
        <w:t>委依法治县办</w:t>
      </w:r>
      <w:r>
        <w:rPr>
          <w:rFonts w:hint="eastAsia" w:ascii="仿宋_GB2312" w:hAnsi="仿宋_GB2312" w:cs="仿宋_GB2312"/>
          <w:sz w:val="32"/>
          <w:szCs w:val="32"/>
          <w:lang w:val="en-US" w:eastAsia="zh-CN"/>
        </w:rPr>
        <w:t>的指导下，结合应急管理工作实际，深入贯彻习近平总书记系列重要讲话精神，以体制机制创新为突破口，大力推进全县应急管理系统法治建设，在全系统积极营造自觉尊法</w:t>
      </w:r>
      <w:r>
        <w:rPr>
          <w:rFonts w:hint="eastAsia" w:cs="仿宋_GB2312"/>
          <w:sz w:val="32"/>
          <w:szCs w:val="32"/>
          <w:lang w:val="en-US" w:eastAsia="zh-CN"/>
        </w:rPr>
        <w:t>学法</w:t>
      </w:r>
      <w:bookmarkStart w:id="0" w:name="_GoBack"/>
      <w:bookmarkEnd w:id="0"/>
      <w:r>
        <w:rPr>
          <w:rFonts w:hint="eastAsia" w:ascii="仿宋_GB2312" w:hAnsi="仿宋_GB2312" w:cs="仿宋_GB2312"/>
          <w:sz w:val="32"/>
          <w:szCs w:val="32"/>
          <w:lang w:val="en-US" w:eastAsia="zh-CN"/>
        </w:rPr>
        <w:t>守法用法的良好氛围</w:t>
      </w:r>
      <w:r>
        <w:rPr>
          <w:rFonts w:hint="eastAsia" w:cs="仿宋_GB2312"/>
          <w:sz w:val="32"/>
          <w:szCs w:val="32"/>
          <w:lang w:val="en-US" w:eastAsia="zh-CN"/>
        </w:rPr>
        <w:t>，取得了积极成效</w:t>
      </w:r>
      <w:r>
        <w:rPr>
          <w:rFonts w:hint="eastAsia" w:ascii="仿宋_GB2312" w:hAnsi="仿宋_GB2312" w:cs="仿宋_GB2312"/>
          <w:sz w:val="32"/>
          <w:szCs w:val="32"/>
          <w:lang w:val="en-US" w:eastAsia="zh-CN"/>
        </w:rPr>
        <w:t>。</w:t>
      </w:r>
      <w:r>
        <w:rPr>
          <w:rFonts w:hint="eastAsia" w:cs="仿宋_GB2312"/>
          <w:sz w:val="32"/>
          <w:szCs w:val="32"/>
          <w:lang w:val="en-US" w:eastAsia="zh-CN"/>
        </w:rPr>
        <w:t>根据《关于做好 2021 年法治政府建设情况年度报告工作的通知》（翁法治办〔2021〕14 号）文件有关要求，</w:t>
      </w:r>
      <w:r>
        <w:rPr>
          <w:rFonts w:hint="eastAsia" w:ascii="仿宋_GB2312" w:hAnsi="仿宋_GB2312" w:cs="仿宋_GB2312"/>
          <w:sz w:val="32"/>
          <w:szCs w:val="32"/>
          <w:lang w:val="en-US" w:eastAsia="zh-CN"/>
        </w:rPr>
        <w:t>现将县应急管理局法治政府建设的情况报告如下：</w:t>
      </w:r>
    </w:p>
    <w:p>
      <w:pPr>
        <w:keepNext w:val="0"/>
        <w:keepLines w:val="0"/>
        <w:pageBreakBefore w:val="0"/>
        <w:widowControl/>
        <w:suppressLineNumbers w:val="0"/>
        <w:kinsoku/>
        <w:wordWrap/>
        <w:overflowPunct/>
        <w:topLinePunct w:val="0"/>
        <w:bidi w:val="0"/>
        <w:adjustRightInd/>
        <w:snapToGrid/>
        <w:spacing w:line="560" w:lineRule="exact"/>
        <w:ind w:firstLine="632" w:firstLineChars="200"/>
        <w:jc w:val="left"/>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一、学习宣传贯彻习近平</w:t>
      </w:r>
      <w:r>
        <w:rPr>
          <w:rFonts w:hint="eastAsia" w:ascii="黑体" w:hAnsi="黑体" w:eastAsia="黑体" w:cs="黑体"/>
          <w:color w:val="000000"/>
          <w:kern w:val="0"/>
          <w:sz w:val="32"/>
          <w:szCs w:val="32"/>
          <w:lang w:val="en-US" w:eastAsia="zh-CN" w:bidi="ar"/>
        </w:rPr>
        <w:t>法治思想和中央依法治国工作会议精神开展情况</w:t>
      </w:r>
    </w:p>
    <w:p>
      <w:pPr>
        <w:pStyle w:val="2"/>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textAlignment w:val="auto"/>
        <w:rPr>
          <w:rFonts w:hint="eastAsia" w:cs="仿宋_GB2312"/>
          <w:sz w:val="32"/>
          <w:szCs w:val="32"/>
          <w:lang w:eastAsia="zh-CN"/>
        </w:rPr>
      </w:pPr>
      <w:r>
        <w:rPr>
          <w:rFonts w:hint="eastAsia" w:ascii="楷体_GB2312" w:hAnsi="楷体_GB2312" w:eastAsia="楷体_GB2312" w:cs="楷体_GB2312"/>
          <w:lang w:val="en-US" w:eastAsia="zh-CN"/>
        </w:rPr>
        <w:t>（一）推动学习宣传情况。</w:t>
      </w:r>
      <w:r>
        <w:rPr>
          <w:rFonts w:hint="eastAsia" w:ascii="仿宋_GB2312" w:hAnsi="仿宋_GB2312" w:cs="仿宋_GB2312"/>
          <w:sz w:val="32"/>
          <w:szCs w:val="32"/>
          <w:lang w:val="en-US" w:eastAsia="zh-CN"/>
        </w:rPr>
        <w:t>县应急管理</w:t>
      </w:r>
      <w:r>
        <w:rPr>
          <w:rFonts w:hint="eastAsia"/>
          <w:lang w:val="en-US" w:eastAsia="zh-CN"/>
        </w:rPr>
        <w:t>局党委高度重视学习贯彻习近平法治思想和中央依法治国工作会议精神，积极召开</w:t>
      </w:r>
      <w:r>
        <w:rPr>
          <w:rFonts w:hint="eastAsia" w:ascii="仿宋_GB2312" w:hAnsi="仿宋_GB2312" w:eastAsia="仿宋_GB2312" w:cs="仿宋_GB2312"/>
          <w:sz w:val="32"/>
          <w:szCs w:val="32"/>
          <w:lang w:val="en-US" w:eastAsia="zh-CN"/>
        </w:rPr>
        <w:t>理论学习中心组(扩大)学习会</w:t>
      </w:r>
      <w:r>
        <w:rPr>
          <w:rFonts w:hint="eastAsia" w:cs="仿宋_GB2312"/>
          <w:sz w:val="32"/>
          <w:szCs w:val="32"/>
          <w:lang w:val="en-US" w:eastAsia="zh-CN"/>
        </w:rPr>
        <w:t>，</w:t>
      </w:r>
      <w:r>
        <w:rPr>
          <w:rFonts w:hint="eastAsia"/>
          <w:lang w:val="en-US" w:eastAsia="zh-CN"/>
        </w:rPr>
        <w:t>学习习近平法治思想和中央全面依法治国工作会议精神。会上强调，中央全面依法治国工作会议十分重要,我们要认真学习领会习近平总书记在会议上精辟概括的“十一个坚持”，准确把握总书记重要讲话思想内涵，将学习贯彻习近平法治思想作为当前和今后一个时期的重要政治任务。应急管理工作的每一项职能都与人民群众的生产生活息息相关，我们要将坚持以人民为中心的理念落实到具体工作中，坚定法治信仰，树牢法治意识，加强法治建设，坚持依法行政，做到公正文明执法，保障我县安全生产态势持续平稳运行。</w:t>
      </w:r>
    </w:p>
    <w:p>
      <w:pPr>
        <w:keepNext w:val="0"/>
        <w:keepLines w:val="0"/>
        <w:pageBreakBefore w:val="0"/>
        <w:widowControl w:val="0"/>
        <w:kinsoku/>
        <w:wordWrap/>
        <w:overflowPunct/>
        <w:topLinePunct w:val="0"/>
        <w:autoSpaceDE/>
        <w:autoSpaceDN/>
        <w:bidi w:val="0"/>
        <w:adjustRightInd/>
        <w:snapToGrid/>
        <w:spacing w:line="560" w:lineRule="exact"/>
        <w:ind w:firstLine="645"/>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（二）推动贯彻落实情况。</w:t>
      </w:r>
      <w:r>
        <w:rPr>
          <w:rFonts w:hint="eastAsia" w:ascii="仿宋_GB2312" w:hAnsi="仿宋_GB2312" w:eastAsia="仿宋_GB2312" w:cs="仿宋_GB2312"/>
          <w:b/>
          <w:bCs/>
          <w:sz w:val="32"/>
          <w:szCs w:val="32"/>
          <w:lang w:val="en-US" w:eastAsia="zh-CN"/>
        </w:rPr>
        <w:t>一是</w:t>
      </w:r>
      <w:r>
        <w:rPr>
          <w:rFonts w:hint="eastAsia" w:cs="仿宋_GB2312"/>
          <w:sz w:val="32"/>
          <w:szCs w:val="32"/>
          <w:lang w:val="en-US" w:eastAsia="zh-CN"/>
        </w:rPr>
        <w:t>落实法治政府建设，</w:t>
      </w:r>
      <w:r>
        <w:rPr>
          <w:rFonts w:hint="eastAsia" w:ascii="仿宋_GB2312" w:hAnsi="仿宋_GB2312" w:eastAsia="仿宋_GB2312" w:cs="仿宋_GB2312"/>
          <w:color w:val="auto"/>
          <w:sz w:val="32"/>
          <w:szCs w:val="32"/>
          <w:lang w:val="en-US" w:eastAsia="zh-CN"/>
        </w:rPr>
        <w:t>围绕《翁源县2021年全面依法治县工作要点》及县委、县政府重点中心工作，加大安全生产领域执法力度。</w:t>
      </w:r>
      <w:r>
        <w:rPr>
          <w:rFonts w:hint="eastAsia" w:cs="仿宋_GB2312"/>
          <w:b/>
          <w:bCs/>
          <w:color w:val="auto"/>
          <w:sz w:val="32"/>
          <w:szCs w:val="32"/>
          <w:lang w:val="en-US" w:eastAsia="zh-CN"/>
        </w:rPr>
        <w:t>二是</w:t>
      </w:r>
      <w:r>
        <w:rPr>
          <w:rFonts w:hint="eastAsia" w:cs="仿宋_GB2312"/>
          <w:sz w:val="32"/>
          <w:szCs w:val="32"/>
          <w:lang w:val="en-US" w:eastAsia="zh-CN"/>
        </w:rPr>
        <w:t>党政主要负责人积极履行推进法治建设第一责任人职责，</w:t>
      </w:r>
      <w:r>
        <w:rPr>
          <w:rFonts w:hint="eastAsia" w:ascii="仿宋_GB2312" w:hAnsi="仿宋_GB2312" w:eastAsia="仿宋_GB2312" w:cs="仿宋_GB2312"/>
          <w:sz w:val="32"/>
          <w:szCs w:val="32"/>
          <w:lang w:val="en-US" w:eastAsia="zh-CN"/>
        </w:rPr>
        <w:t>将建设法治政府摆在全局工作的重要位置，注重发挥党委在推进本部门法治建设中的领导核心作用，认真学习贯彻中央和省、市、县关于法治建设重大决策部署，坚持“生命至上，安全发展”的方针，健全安全生产监管体系，落实安全生产责任制，强化安全生产各项措施，全面推进法治建设工作。</w:t>
      </w:r>
    </w:p>
    <w:p>
      <w:pPr>
        <w:pStyle w:val="2"/>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textAlignment w:val="auto"/>
        <w:rPr>
          <w:rFonts w:hint="eastAsia" w:ascii="黑体" w:hAnsi="黑体" w:eastAsia="黑体" w:cs="黑体"/>
          <w:i w:val="0"/>
          <w:iCs w:val="0"/>
          <w:caps w:val="0"/>
          <w:color w:val="auto"/>
          <w:spacing w:val="0"/>
          <w:sz w:val="32"/>
          <w:szCs w:val="32"/>
          <w:shd w:val="clear" w:fill="FFFFFF"/>
          <w:lang w:eastAsia="zh-CN"/>
        </w:rPr>
      </w:pPr>
      <w:r>
        <w:rPr>
          <w:rFonts w:hint="eastAsia" w:ascii="黑体" w:hAnsi="黑体" w:eastAsia="黑体" w:cs="黑体"/>
          <w:color w:val="auto"/>
          <w:sz w:val="32"/>
          <w:szCs w:val="32"/>
          <w:lang w:val="en-US" w:eastAsia="zh-CN"/>
        </w:rPr>
        <w:t>二、</w:t>
      </w:r>
      <w:r>
        <w:rPr>
          <w:rFonts w:hint="eastAsia" w:ascii="黑体" w:hAnsi="黑体" w:eastAsia="黑体" w:cs="黑体"/>
          <w:i w:val="0"/>
          <w:iCs w:val="0"/>
          <w:caps w:val="0"/>
          <w:color w:val="auto"/>
          <w:spacing w:val="0"/>
          <w:sz w:val="32"/>
          <w:szCs w:val="32"/>
          <w:shd w:val="clear" w:fill="FFFFFF"/>
          <w:lang w:val="en-US"/>
        </w:rPr>
        <w:t>2021</w:t>
      </w:r>
      <w:r>
        <w:rPr>
          <w:rFonts w:hint="eastAsia" w:ascii="黑体" w:hAnsi="黑体" w:eastAsia="黑体" w:cs="黑体"/>
          <w:i w:val="0"/>
          <w:iCs w:val="0"/>
          <w:caps w:val="0"/>
          <w:color w:val="auto"/>
          <w:spacing w:val="0"/>
          <w:sz w:val="32"/>
          <w:szCs w:val="32"/>
          <w:shd w:val="clear" w:fill="FFFFFF"/>
          <w:lang w:eastAsia="zh-CN"/>
        </w:rPr>
        <w:t>年度推进法治政府建设的主要举措和成效</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textAlignment w:val="auto"/>
        <w:rPr>
          <w:rFonts w:hint="default" w:ascii="仿宋_GB2312" w:hAnsi="仿宋_GB2312" w:eastAsia="仿宋_GB2312" w:cs="仿宋_GB2312"/>
          <w:color w:val="000000"/>
          <w:sz w:val="32"/>
          <w:szCs w:val="32"/>
          <w:lang w:val="en-US" w:eastAsia="zh-CN"/>
        </w:rPr>
      </w:pPr>
      <w:r>
        <w:rPr>
          <w:rFonts w:hint="eastAsia" w:ascii="楷体_GB2312" w:hAnsi="楷体_GB2312" w:eastAsia="楷体_GB2312" w:cs="楷体_GB2312"/>
          <w:i w:val="0"/>
          <w:iCs w:val="0"/>
          <w:caps w:val="0"/>
          <w:color w:val="auto"/>
          <w:spacing w:val="10"/>
          <w:sz w:val="32"/>
          <w:szCs w:val="32"/>
          <w:shd w:val="clear" w:fill="FFFFFF"/>
          <w:lang w:eastAsia="zh-CN"/>
        </w:rPr>
        <w:t>（</w:t>
      </w:r>
      <w:r>
        <w:rPr>
          <w:rFonts w:hint="eastAsia" w:ascii="楷体_GB2312" w:hAnsi="楷体_GB2312" w:eastAsia="楷体_GB2312" w:cs="楷体_GB2312"/>
          <w:i w:val="0"/>
          <w:iCs w:val="0"/>
          <w:caps w:val="0"/>
          <w:color w:val="auto"/>
          <w:spacing w:val="10"/>
          <w:sz w:val="32"/>
          <w:szCs w:val="32"/>
          <w:shd w:val="clear" w:fill="FFFFFF"/>
          <w:lang w:val="en-US" w:eastAsia="zh-CN"/>
        </w:rPr>
        <w:t>一</w:t>
      </w:r>
      <w:r>
        <w:rPr>
          <w:rFonts w:hint="eastAsia" w:ascii="楷体_GB2312" w:hAnsi="楷体_GB2312" w:eastAsia="楷体_GB2312" w:cs="楷体_GB2312"/>
          <w:i w:val="0"/>
          <w:iCs w:val="0"/>
          <w:caps w:val="0"/>
          <w:color w:val="auto"/>
          <w:spacing w:val="10"/>
          <w:sz w:val="32"/>
          <w:szCs w:val="32"/>
          <w:shd w:val="clear" w:fill="FFFFFF"/>
          <w:lang w:eastAsia="zh-CN"/>
        </w:rPr>
        <w:t>）</w:t>
      </w:r>
      <w:r>
        <w:rPr>
          <w:rFonts w:hint="eastAsia" w:ascii="楷体_GB2312" w:hAnsi="楷体_GB2312" w:eastAsia="楷体_GB2312" w:cs="楷体_GB2312"/>
          <w:i w:val="0"/>
          <w:iCs w:val="0"/>
          <w:caps w:val="0"/>
          <w:color w:val="auto"/>
          <w:spacing w:val="10"/>
          <w:sz w:val="32"/>
          <w:szCs w:val="32"/>
          <w:shd w:val="clear" w:fill="FFFFFF"/>
        </w:rPr>
        <w:t>依法全面履行政府职能</w:t>
      </w:r>
      <w:r>
        <w:rPr>
          <w:rFonts w:hint="eastAsia" w:ascii="楷体_GB2312" w:hAnsi="楷体_GB2312" w:eastAsia="楷体_GB2312" w:cs="楷体_GB2312"/>
          <w:color w:val="auto"/>
          <w:sz w:val="32"/>
          <w:szCs w:val="32"/>
          <w:lang w:val="en-US" w:eastAsia="zh-CN"/>
        </w:rPr>
        <w:t>。</w:t>
      </w:r>
      <w:r>
        <w:rPr>
          <w:rFonts w:hint="eastAsia" w:ascii="仿宋_GB2312" w:hAnsi="仿宋_GB2312" w:eastAsia="仿宋_GB2312" w:cs="仿宋_GB2312"/>
          <w:b/>
          <w:bCs/>
          <w:color w:val="auto"/>
          <w:sz w:val="32"/>
          <w:szCs w:val="32"/>
          <w:lang w:val="en-US" w:eastAsia="zh-CN"/>
        </w:rPr>
        <w:t>一是</w:t>
      </w:r>
      <w:r>
        <w:rPr>
          <w:rFonts w:hint="eastAsia" w:cs="仿宋_GB2312"/>
          <w:b w:val="0"/>
          <w:bCs w:val="0"/>
          <w:color w:val="auto"/>
          <w:sz w:val="32"/>
          <w:szCs w:val="32"/>
          <w:lang w:val="en-US" w:eastAsia="zh-CN"/>
        </w:rPr>
        <w:t>积极推进“证照分离”改革。县应急管理局</w:t>
      </w:r>
      <w:r>
        <w:rPr>
          <w:rFonts w:hint="eastAsia" w:hAnsi="Times New Roman" w:cs="仿宋_GB2312"/>
          <w:color w:val="auto"/>
          <w:sz w:val="32"/>
          <w:szCs w:val="32"/>
          <w:lang w:val="en-US" w:eastAsia="zh-CN" w:bidi="ar"/>
        </w:rPr>
        <w:t>共完成</w:t>
      </w:r>
      <w:r>
        <w:rPr>
          <w:rFonts w:hint="eastAsia" w:ascii="仿宋_GB2312" w:hAnsi="Times New Roman" w:eastAsia="仿宋_GB2312" w:cs="仿宋_GB2312"/>
          <w:color w:val="auto"/>
          <w:sz w:val="32"/>
          <w:szCs w:val="32"/>
          <w:lang w:bidi="ar"/>
        </w:rPr>
        <w:t>3项涉企</w:t>
      </w:r>
      <w:r>
        <w:rPr>
          <w:rFonts w:hint="eastAsia" w:ascii="仿宋_GB2312" w:hAnsi="Times New Roman" w:eastAsia="仿宋_GB2312" w:cs="仿宋_GB2312"/>
          <w:sz w:val="32"/>
          <w:szCs w:val="32"/>
          <w:lang w:bidi="ar"/>
        </w:rPr>
        <w:t>经营许可事项“证照分离”改革</w:t>
      </w:r>
      <w:r>
        <w:rPr>
          <w:rFonts w:hint="eastAsia" w:hAnsi="Times New Roman" w:cs="仿宋_GB2312"/>
          <w:sz w:val="32"/>
          <w:szCs w:val="32"/>
          <w:lang w:eastAsia="zh-CN" w:bidi="ar"/>
        </w:rPr>
        <w:t>，</w:t>
      </w:r>
      <w:r>
        <w:rPr>
          <w:rFonts w:hint="eastAsia" w:ascii="仿宋_GB2312" w:hAnsi="Times New Roman" w:eastAsia="仿宋_GB2312" w:cs="仿宋_GB2312"/>
          <w:sz w:val="32"/>
          <w:szCs w:val="32"/>
          <w:lang w:bidi="ar"/>
        </w:rPr>
        <w:t>实现申请、审批、拿证一门一户网服务</w:t>
      </w:r>
      <w:r>
        <w:rPr>
          <w:rFonts w:hint="eastAsia" w:hAnsi="Times New Roman" w:cs="仿宋_GB2312"/>
          <w:sz w:val="32"/>
          <w:szCs w:val="32"/>
          <w:lang w:eastAsia="zh-CN" w:bidi="ar"/>
        </w:rPr>
        <w:t>，</w:t>
      </w:r>
      <w:r>
        <w:rPr>
          <w:rFonts w:hint="eastAsia" w:hAnsi="Times New Roman" w:cs="仿宋_GB2312"/>
          <w:sz w:val="32"/>
          <w:szCs w:val="32"/>
          <w:lang w:val="en-US" w:eastAsia="zh-CN" w:bidi="ar"/>
        </w:rPr>
        <w:t>提高审批效率，增强人民满意度。</w:t>
      </w:r>
      <w:r>
        <w:rPr>
          <w:rFonts w:hint="eastAsia" w:hAnsi="Times New Roman" w:cs="仿宋_GB2312"/>
          <w:b/>
          <w:bCs/>
          <w:sz w:val="32"/>
          <w:szCs w:val="32"/>
          <w:lang w:val="en-US" w:eastAsia="zh-CN" w:bidi="ar"/>
        </w:rPr>
        <w:t>二是</w:t>
      </w:r>
      <w:r>
        <w:rPr>
          <w:rFonts w:hint="eastAsia" w:hAnsi="Times New Roman" w:cs="仿宋_GB2312"/>
          <w:sz w:val="32"/>
          <w:szCs w:val="32"/>
          <w:lang w:val="en-US" w:eastAsia="zh-CN" w:bidi="ar"/>
        </w:rPr>
        <w:t>加强“</w:t>
      </w:r>
      <w:r>
        <w:rPr>
          <w:rFonts w:hint="eastAsia" w:ascii="仿宋_GB2312" w:hAnsi="仿宋_GB2312" w:eastAsia="仿宋_GB2312" w:cs="仿宋_GB2312"/>
          <w:color w:val="000000"/>
          <w:kern w:val="0"/>
          <w:sz w:val="32"/>
          <w:szCs w:val="32"/>
          <w:lang w:bidi="ar"/>
        </w:rPr>
        <w:t>双随机、一公开</w:t>
      </w:r>
      <w:r>
        <w:rPr>
          <w:rFonts w:hint="eastAsia" w:hAnsi="Times New Roman" w:cs="仿宋_GB2312"/>
          <w:sz w:val="32"/>
          <w:szCs w:val="32"/>
          <w:lang w:val="en-US" w:eastAsia="zh-CN" w:bidi="ar"/>
        </w:rPr>
        <w:t>”监管。县应急管理局</w:t>
      </w:r>
      <w:r>
        <w:rPr>
          <w:rFonts w:hint="eastAsia" w:ascii="仿宋_GB2312" w:hAnsi="宋体" w:eastAsia="仿宋_GB2312" w:cs="仿宋_GB2312"/>
          <w:color w:val="000000"/>
          <w:kern w:val="0"/>
          <w:sz w:val="32"/>
          <w:szCs w:val="32"/>
          <w:lang w:bidi="ar"/>
        </w:rPr>
        <w:t>认真贯彻</w:t>
      </w:r>
      <w:r>
        <w:rPr>
          <w:rFonts w:hint="eastAsia" w:ascii="仿宋_GB2312" w:hAnsi="宋体" w:cs="仿宋_GB2312"/>
          <w:color w:val="000000"/>
          <w:kern w:val="0"/>
          <w:sz w:val="32"/>
          <w:szCs w:val="32"/>
          <w:lang w:val="en-US" w:eastAsia="zh-CN" w:bidi="ar"/>
        </w:rPr>
        <w:t>落实</w:t>
      </w:r>
      <w:r>
        <w:rPr>
          <w:rFonts w:hint="eastAsia" w:cs="仿宋_GB2312"/>
          <w:color w:val="000000"/>
          <w:kern w:val="0"/>
          <w:sz w:val="32"/>
          <w:szCs w:val="32"/>
          <w:lang w:val="en-US" w:eastAsia="zh-CN" w:bidi="ar"/>
        </w:rPr>
        <w:t>有关</w:t>
      </w:r>
      <w:r>
        <w:rPr>
          <w:rFonts w:hint="eastAsia" w:ascii="仿宋_GB2312" w:hAnsi="仿宋_GB2312" w:cs="仿宋_GB2312"/>
          <w:color w:val="000000"/>
          <w:kern w:val="0"/>
          <w:sz w:val="32"/>
          <w:szCs w:val="32"/>
          <w:lang w:val="en-US" w:eastAsia="zh-CN" w:bidi="ar"/>
        </w:rPr>
        <w:t>文件</w:t>
      </w:r>
      <w:r>
        <w:rPr>
          <w:rFonts w:hint="eastAsia" w:ascii="仿宋_GB2312" w:hAnsi="宋体" w:eastAsia="仿宋_GB2312" w:cs="仿宋_GB2312"/>
          <w:color w:val="000000"/>
          <w:kern w:val="0"/>
          <w:sz w:val="32"/>
          <w:szCs w:val="32"/>
          <w:lang w:bidi="ar"/>
        </w:rPr>
        <w:t>部署要求，</w:t>
      </w:r>
      <w:r>
        <w:rPr>
          <w:rFonts w:hint="eastAsia" w:ascii="仿宋_GB2312" w:hAnsi="宋体" w:cs="仿宋_GB2312"/>
          <w:color w:val="000000"/>
          <w:kern w:val="0"/>
          <w:sz w:val="32"/>
          <w:szCs w:val="32"/>
          <w:lang w:val="en-US" w:eastAsia="zh-CN" w:bidi="ar"/>
        </w:rPr>
        <w:t>已于</w:t>
      </w:r>
      <w:r>
        <w:rPr>
          <w:rFonts w:hint="eastAsia" w:ascii="仿宋_GB2312" w:hAnsi="宋体" w:eastAsia="仿宋_GB2312" w:cs="仿宋_GB2312"/>
          <w:color w:val="000000"/>
          <w:kern w:val="0"/>
          <w:sz w:val="32"/>
          <w:szCs w:val="32"/>
          <w:lang w:bidi="ar"/>
        </w:rPr>
        <w:t>6月底建立完善本部门“一单两库”，录入广东省“双随机</w:t>
      </w:r>
      <w:r>
        <w:rPr>
          <w:rFonts w:hint="eastAsia" w:ascii="仿宋_GB2312" w:hAnsi="宋体" w:cs="仿宋_GB2312"/>
          <w:color w:val="000000"/>
          <w:kern w:val="0"/>
          <w:sz w:val="32"/>
          <w:szCs w:val="32"/>
          <w:lang w:eastAsia="zh-CN" w:bidi="ar"/>
        </w:rPr>
        <w:t>、</w:t>
      </w:r>
      <w:r>
        <w:rPr>
          <w:rFonts w:hint="eastAsia" w:ascii="仿宋_GB2312" w:hAnsi="宋体" w:eastAsia="仿宋_GB2312" w:cs="仿宋_GB2312"/>
          <w:color w:val="000000"/>
          <w:kern w:val="0"/>
          <w:sz w:val="32"/>
          <w:szCs w:val="32"/>
          <w:lang w:bidi="ar"/>
        </w:rPr>
        <w:t>一公开”综合监管平台，实施动态管理</w:t>
      </w:r>
      <w:r>
        <w:rPr>
          <w:rFonts w:hint="eastAsia" w:ascii="仿宋_GB2312" w:hAnsi="宋体" w:eastAsia="仿宋_GB2312" w:cs="仿宋_GB2312"/>
          <w:color w:val="000000"/>
          <w:kern w:val="0"/>
          <w:sz w:val="32"/>
          <w:szCs w:val="32"/>
          <w:lang w:eastAsia="zh-CN" w:bidi="ar"/>
        </w:rPr>
        <w:t>，</w:t>
      </w:r>
      <w:r>
        <w:rPr>
          <w:rFonts w:hint="eastAsia" w:ascii="仿宋_GB2312" w:hAnsi="宋体" w:eastAsia="仿宋_GB2312" w:cs="仿宋_GB2312"/>
          <w:color w:val="000000"/>
          <w:kern w:val="0"/>
          <w:sz w:val="32"/>
          <w:szCs w:val="32"/>
          <w:lang w:bidi="ar"/>
        </w:rPr>
        <w:t>制定并组织实施年度抽查计划，</w:t>
      </w:r>
      <w:r>
        <w:rPr>
          <w:rFonts w:hint="eastAsia" w:ascii="仿宋_GB2312" w:hAnsi="宋体" w:eastAsia="仿宋_GB2312" w:cs="仿宋_GB2312"/>
          <w:color w:val="000000"/>
          <w:kern w:val="0"/>
          <w:sz w:val="32"/>
          <w:szCs w:val="32"/>
          <w:lang w:val="en-US" w:eastAsia="zh-CN" w:bidi="ar"/>
        </w:rPr>
        <w:t>共</w:t>
      </w:r>
      <w:r>
        <w:rPr>
          <w:rFonts w:hint="eastAsia" w:ascii="仿宋_GB2312" w:hAnsi="宋体" w:eastAsia="仿宋_GB2312" w:cs="仿宋_GB2312"/>
          <w:color w:val="000000"/>
          <w:kern w:val="0"/>
          <w:sz w:val="32"/>
          <w:szCs w:val="32"/>
          <w:lang w:bidi="ar"/>
        </w:rPr>
        <w:t>抽查企业6家，出动执法人员</w:t>
      </w:r>
      <w:r>
        <w:rPr>
          <w:rFonts w:hint="eastAsia" w:ascii="仿宋_GB2312" w:hAnsi="宋体" w:eastAsia="仿宋_GB2312" w:cs="仿宋_GB2312"/>
          <w:color w:val="000000"/>
          <w:kern w:val="0"/>
          <w:sz w:val="32"/>
          <w:szCs w:val="32"/>
          <w:lang w:val="en-US" w:eastAsia="zh-CN" w:bidi="ar"/>
        </w:rPr>
        <w:t>20</w:t>
      </w:r>
      <w:r>
        <w:rPr>
          <w:rFonts w:hint="eastAsia" w:ascii="仿宋_GB2312" w:hAnsi="宋体" w:eastAsia="仿宋_GB2312" w:cs="仿宋_GB2312"/>
          <w:color w:val="000000"/>
          <w:kern w:val="0"/>
          <w:sz w:val="32"/>
          <w:szCs w:val="32"/>
          <w:lang w:bidi="ar"/>
        </w:rPr>
        <w:t>人次，制作现场检查记录6份，发现问题隐患</w:t>
      </w:r>
      <w:r>
        <w:rPr>
          <w:rFonts w:hint="eastAsia" w:ascii="仿宋_GB2312" w:hAnsi="宋体" w:eastAsia="仿宋_GB2312" w:cs="仿宋_GB2312"/>
          <w:color w:val="000000"/>
          <w:kern w:val="0"/>
          <w:sz w:val="32"/>
          <w:szCs w:val="32"/>
          <w:lang w:val="en-US" w:eastAsia="zh-CN" w:bidi="ar"/>
        </w:rPr>
        <w:t>13</w:t>
      </w:r>
      <w:r>
        <w:rPr>
          <w:rFonts w:hint="eastAsia" w:ascii="仿宋_GB2312" w:hAnsi="宋体" w:eastAsia="仿宋_GB2312" w:cs="仿宋_GB2312"/>
          <w:color w:val="000000"/>
          <w:kern w:val="0"/>
          <w:sz w:val="32"/>
          <w:szCs w:val="32"/>
          <w:lang w:bidi="ar"/>
        </w:rPr>
        <w:t>项</w:t>
      </w:r>
      <w:r>
        <w:rPr>
          <w:rFonts w:hint="eastAsia" w:ascii="仿宋_GB2312" w:hAnsi="宋体" w:cs="仿宋_GB2312"/>
          <w:color w:val="000000"/>
          <w:kern w:val="0"/>
          <w:sz w:val="32"/>
          <w:szCs w:val="32"/>
          <w:lang w:eastAsia="zh-CN" w:bidi="ar"/>
        </w:rPr>
        <w:t>，</w:t>
      </w:r>
      <w:r>
        <w:rPr>
          <w:rFonts w:hint="eastAsia" w:ascii="仿宋_GB2312" w:hAnsi="宋体" w:eastAsia="仿宋_GB2312" w:cs="仿宋_GB2312"/>
          <w:color w:val="000000"/>
          <w:kern w:val="0"/>
          <w:sz w:val="32"/>
          <w:szCs w:val="32"/>
          <w:lang w:bidi="ar"/>
        </w:rPr>
        <w:t>并将检查情况在平台公示。</w:t>
      </w:r>
      <w:r>
        <w:rPr>
          <w:rFonts w:hint="eastAsia" w:hAnsi="宋体" w:cs="仿宋_GB2312"/>
          <w:b/>
          <w:bCs/>
          <w:color w:val="000000"/>
          <w:kern w:val="0"/>
          <w:sz w:val="32"/>
          <w:szCs w:val="32"/>
          <w:lang w:val="en-US" w:eastAsia="zh-CN" w:bidi="ar"/>
        </w:rPr>
        <w:t>三是</w:t>
      </w:r>
      <w:r>
        <w:rPr>
          <w:rFonts w:hint="eastAsia" w:ascii="仿宋_GB2312" w:hAnsi="仿宋_GB2312" w:eastAsia="仿宋_GB2312" w:cs="仿宋_GB2312"/>
          <w:color w:val="000000"/>
          <w:sz w:val="32"/>
          <w:szCs w:val="32"/>
          <w:lang w:val="en-US" w:eastAsia="zh-CN"/>
        </w:rPr>
        <w:t>协助推进行政执法职权下放。根据县委依法治县办工作要求，协助梳理下放乡镇行政执法职权29项，举办乡镇安全生产监管知识培训班1期，联合乡镇开展安全生产监管执法检查8次，对乡镇监管执法人员的培训完成率和联合执法检查完成率均达100%。</w:t>
      </w:r>
      <w:r>
        <w:rPr>
          <w:rFonts w:hint="eastAsia" w:cs="仿宋_GB2312"/>
          <w:b/>
          <w:bCs/>
          <w:color w:val="000000"/>
          <w:sz w:val="32"/>
          <w:szCs w:val="32"/>
          <w:lang w:val="en-US" w:eastAsia="zh-CN"/>
        </w:rPr>
        <w:t>四是</w:t>
      </w:r>
      <w:r>
        <w:rPr>
          <w:rFonts w:hint="eastAsia" w:cs="仿宋_GB2312"/>
          <w:color w:val="000000"/>
          <w:sz w:val="32"/>
          <w:szCs w:val="32"/>
          <w:lang w:val="en-US" w:eastAsia="zh-CN"/>
        </w:rPr>
        <w:t>系统推进安全生产整治督导。</w:t>
      </w:r>
      <w:r>
        <w:rPr>
          <w:rFonts w:hint="eastAsia" w:ascii="仿宋_GB2312" w:eastAsia="仿宋_GB2312"/>
          <w:sz w:val="32"/>
          <w:szCs w:val="32"/>
        </w:rPr>
        <w:t>今年以来，先后召开疫情防控、汛期安全、燃气行业、系统化解道路交通事故等重点领域安全监管会议37次，督导</w:t>
      </w:r>
      <w:r>
        <w:rPr>
          <w:rFonts w:hint="eastAsia" w:ascii="仿宋_GB2312"/>
          <w:sz w:val="32"/>
          <w:szCs w:val="32"/>
          <w:lang w:val="en-US" w:eastAsia="zh-CN"/>
        </w:rPr>
        <w:t>各</w:t>
      </w:r>
      <w:r>
        <w:rPr>
          <w:rFonts w:hint="eastAsia" w:ascii="仿宋_GB2312" w:eastAsia="仿宋_GB2312"/>
          <w:sz w:val="32"/>
          <w:szCs w:val="32"/>
        </w:rPr>
        <w:t>镇</w:t>
      </w:r>
      <w:r>
        <w:rPr>
          <w:rFonts w:hint="eastAsia" w:ascii="仿宋_GB2312"/>
          <w:sz w:val="32"/>
          <w:szCs w:val="32"/>
          <w:lang w:eastAsia="zh-CN"/>
        </w:rPr>
        <w:t>、</w:t>
      </w:r>
      <w:r>
        <w:rPr>
          <w:rFonts w:hint="eastAsia" w:ascii="仿宋_GB2312"/>
          <w:sz w:val="32"/>
          <w:szCs w:val="32"/>
          <w:lang w:val="en-US" w:eastAsia="zh-CN"/>
        </w:rPr>
        <w:t>各</w:t>
      </w:r>
      <w:r>
        <w:rPr>
          <w:rFonts w:hint="eastAsia" w:ascii="仿宋_GB2312" w:eastAsia="仿宋_GB2312"/>
          <w:sz w:val="32"/>
          <w:szCs w:val="32"/>
        </w:rPr>
        <w:t>部门及企业102家次，先后对23家企业单位进行约谈，下发安顺达能源的燃气及华彩园区、官渡辖区气站的安全专项督办通知3次，工作通报11期。</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color w:val="000000"/>
          <w:sz w:val="32"/>
          <w:szCs w:val="32"/>
          <w:lang w:val="en-US" w:eastAsia="zh-CN"/>
        </w:rPr>
        <w:t>（二）完善依法行政制度体系。</w:t>
      </w:r>
      <w:r>
        <w:rPr>
          <w:rFonts w:hint="eastAsia" w:ascii="仿宋_GB2312" w:hAnsi="仿宋_GB2312" w:cs="仿宋_GB2312"/>
          <w:b/>
          <w:bCs/>
          <w:sz w:val="32"/>
          <w:szCs w:val="22"/>
          <w:lang w:val="en-US" w:eastAsia="zh-CN"/>
        </w:rPr>
        <w:t>一</w:t>
      </w:r>
      <w:r>
        <w:rPr>
          <w:rFonts w:hint="eastAsia" w:ascii="仿宋_GB2312" w:hAnsi="仿宋_GB2312" w:eastAsia="仿宋_GB2312" w:cs="仿宋_GB2312"/>
          <w:b/>
          <w:bCs/>
          <w:sz w:val="32"/>
          <w:szCs w:val="22"/>
          <w:lang w:val="en-US" w:eastAsia="zh-CN"/>
        </w:rPr>
        <w:t>是</w:t>
      </w:r>
      <w:r>
        <w:rPr>
          <w:rFonts w:hint="eastAsia" w:ascii="仿宋_GB2312" w:hAnsi="仿宋_GB2312" w:eastAsia="仿宋_GB2312" w:cs="仿宋_GB2312"/>
          <w:b w:val="0"/>
          <w:bCs w:val="0"/>
          <w:sz w:val="32"/>
          <w:szCs w:val="22"/>
          <w:lang w:val="en-US" w:eastAsia="zh-CN"/>
        </w:rPr>
        <w:t>积极推进深化改革任务进程。</w:t>
      </w:r>
      <w:r>
        <w:rPr>
          <w:rFonts w:hint="eastAsia" w:ascii="仿宋_GB2312" w:hAnsi="仿宋_GB2312" w:eastAsia="仿宋_GB2312" w:cs="仿宋_GB2312"/>
          <w:sz w:val="32"/>
          <w:szCs w:val="32"/>
          <w:lang w:val="en-US" w:eastAsia="zh-CN"/>
        </w:rPr>
        <w:t>拟定《翁源县生产安全事故和自然灾害应急处置联络员工作机制（试行）》，有效解决应急准备不充分、应急处置不及时的问题，进一步明确各镇、县行业主管部门应急准备和应急处置工作职责</w:t>
      </w:r>
      <w:r>
        <w:rPr>
          <w:rFonts w:hint="eastAsia" w:ascii="仿宋_GB2312" w:hAnsi="仿宋_GB2312" w:eastAsia="仿宋_GB2312" w:cs="仿宋_GB2312"/>
          <w:sz w:val="32"/>
          <w:lang w:val="en-US" w:eastAsia="zh-CN"/>
        </w:rPr>
        <w:t>。</w:t>
      </w:r>
      <w:r>
        <w:rPr>
          <w:rFonts w:hint="eastAsia" w:ascii="仿宋_GB2312" w:hAnsi="仿宋_GB2312" w:cs="仿宋_GB2312"/>
          <w:b/>
          <w:bCs/>
          <w:sz w:val="32"/>
          <w:lang w:val="en-US" w:eastAsia="zh-CN"/>
        </w:rPr>
        <w:t>二</w:t>
      </w:r>
      <w:r>
        <w:rPr>
          <w:rFonts w:hint="eastAsia" w:ascii="仿宋_GB2312" w:hAnsi="仿宋_GB2312" w:eastAsia="仿宋_GB2312" w:cs="仿宋_GB2312"/>
          <w:b/>
          <w:bCs/>
          <w:sz w:val="32"/>
          <w:szCs w:val="22"/>
          <w:lang w:val="en-US" w:eastAsia="zh-CN"/>
        </w:rPr>
        <w:t>是</w:t>
      </w:r>
      <w:r>
        <w:rPr>
          <w:rFonts w:hint="eastAsia" w:ascii="仿宋_GB2312" w:hAnsi="仿宋_GB2312" w:eastAsia="仿宋_GB2312" w:cs="仿宋_GB2312"/>
          <w:sz w:val="32"/>
          <w:szCs w:val="32"/>
          <w:lang w:val="en-US" w:eastAsia="zh-CN"/>
        </w:rPr>
        <w:t>完善森林防灭火制度。</w:t>
      </w:r>
      <w:r>
        <w:rPr>
          <w:rFonts w:hint="eastAsia" w:ascii="仿宋_GB2312" w:hAnsi="仿宋_GB2312" w:eastAsia="仿宋_GB2312" w:cs="仿宋_GB2312"/>
          <w:color w:val="auto"/>
          <w:sz w:val="32"/>
          <w:szCs w:val="32"/>
          <w:lang w:val="en-US" w:eastAsia="zh-CN"/>
        </w:rPr>
        <w:t>制订《翁源县森林防灭火包镇包村包山头工作方案》及《翁源县森林防灭火“15条”工作措施》，</w:t>
      </w:r>
      <w:r>
        <w:rPr>
          <w:rFonts w:hint="eastAsia" w:ascii="仿宋_GB2312" w:hAnsi="仿宋_GB2312" w:eastAsia="仿宋_GB2312" w:cs="仿宋_GB2312"/>
          <w:caps w:val="0"/>
          <w:color w:val="auto"/>
          <w:spacing w:val="0"/>
          <w:sz w:val="32"/>
          <w:szCs w:val="32"/>
          <w:shd w:val="clear" w:color="auto" w:fill="FFFFFF"/>
          <w:lang w:val="en-US" w:eastAsia="zh-CN"/>
        </w:rPr>
        <w:t>对落实防灭火工作不到位的乡镇和责任单位进行通报，并发出相关提醒函。</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textAlignment w:val="auto"/>
        <w:rPr>
          <w:rFonts w:hint="default" w:ascii="楷体_GB2312" w:hAnsi="楷体_GB2312" w:eastAsia="仿宋_GB2312" w:cs="楷体_GB2312"/>
          <w:color w:val="000000"/>
          <w:sz w:val="32"/>
          <w:szCs w:val="32"/>
          <w:lang w:val="en-US" w:eastAsia="zh-CN"/>
        </w:rPr>
      </w:pPr>
      <w:r>
        <w:rPr>
          <w:rFonts w:hint="eastAsia" w:ascii="楷体_GB2312" w:hAnsi="楷体_GB2312" w:eastAsia="楷体_GB2312" w:cs="楷体_GB2312"/>
          <w:color w:val="000000"/>
          <w:sz w:val="32"/>
          <w:szCs w:val="32"/>
          <w:lang w:val="en-US" w:eastAsia="zh-CN"/>
        </w:rPr>
        <w:t>（三）严格规范公正文明执法。</w:t>
      </w:r>
      <w:r>
        <w:rPr>
          <w:rFonts w:hint="eastAsia" w:ascii="仿宋_GB2312" w:hAnsi="仿宋_GB2312" w:eastAsia="仿宋_GB2312" w:cs="仿宋_GB2312"/>
          <w:b/>
          <w:bCs/>
          <w:color w:val="000000"/>
          <w:sz w:val="32"/>
          <w:szCs w:val="32"/>
          <w:lang w:val="en-US" w:eastAsia="zh-CN"/>
        </w:rPr>
        <w:t>一是</w:t>
      </w:r>
      <w:r>
        <w:rPr>
          <w:rFonts w:hint="eastAsia" w:ascii="仿宋_GB2312" w:hAnsi="仿宋_GB2312" w:eastAsia="仿宋_GB2312" w:cs="仿宋_GB2312"/>
          <w:sz w:val="32"/>
          <w:szCs w:val="32"/>
        </w:rPr>
        <w:t>及时组织</w:t>
      </w:r>
      <w:r>
        <w:rPr>
          <w:rFonts w:hint="eastAsia" w:cs="仿宋_GB2312"/>
          <w:sz w:val="32"/>
          <w:szCs w:val="32"/>
          <w:lang w:val="en-US" w:eastAsia="zh-CN"/>
        </w:rPr>
        <w:t>尚未取得行政</w:t>
      </w:r>
      <w:r>
        <w:rPr>
          <w:rFonts w:hint="eastAsia" w:ascii="仿宋_GB2312" w:hAnsi="仿宋_GB2312" w:eastAsia="仿宋_GB2312" w:cs="仿宋_GB2312"/>
          <w:sz w:val="32"/>
          <w:szCs w:val="32"/>
        </w:rPr>
        <w:t>执法</w:t>
      </w:r>
      <w:r>
        <w:rPr>
          <w:rFonts w:hint="eastAsia" w:cs="仿宋_GB2312"/>
          <w:sz w:val="32"/>
          <w:szCs w:val="32"/>
          <w:lang w:val="en-US" w:eastAsia="zh-CN"/>
        </w:rPr>
        <w:t>证的</w:t>
      </w:r>
      <w:r>
        <w:rPr>
          <w:rFonts w:hint="eastAsia" w:ascii="仿宋_GB2312" w:hAnsi="仿宋_GB2312" w:eastAsia="仿宋_GB2312" w:cs="仿宋_GB2312"/>
          <w:sz w:val="32"/>
          <w:szCs w:val="32"/>
        </w:rPr>
        <w:t>人员参加行政执法人员</w:t>
      </w:r>
      <w:r>
        <w:rPr>
          <w:rFonts w:hint="eastAsia" w:ascii="仿宋_GB2312" w:hAnsi="仿宋_GB2312" w:eastAsia="仿宋_GB2312" w:cs="仿宋_GB2312"/>
          <w:sz w:val="32"/>
          <w:szCs w:val="32"/>
          <w:lang w:eastAsia="zh-CN"/>
        </w:rPr>
        <w:t>综合</w:t>
      </w:r>
      <w:r>
        <w:rPr>
          <w:rFonts w:hint="eastAsia" w:ascii="仿宋_GB2312" w:hAnsi="仿宋_GB2312" w:eastAsia="仿宋_GB2312" w:cs="仿宋_GB2312"/>
          <w:sz w:val="32"/>
          <w:szCs w:val="32"/>
        </w:rPr>
        <w:t>法律知识考试，持证上岗率达100%</w:t>
      </w:r>
      <w:r>
        <w:rPr>
          <w:rFonts w:hint="eastAsia" w:cs="仿宋_GB2312"/>
          <w:sz w:val="32"/>
          <w:szCs w:val="32"/>
          <w:lang w:eastAsia="zh-CN"/>
        </w:rPr>
        <w:t>。</w:t>
      </w:r>
      <w:r>
        <w:rPr>
          <w:rFonts w:hint="eastAsia" w:cs="仿宋_GB2312"/>
          <w:b/>
          <w:bCs/>
          <w:sz w:val="32"/>
          <w:szCs w:val="32"/>
          <w:lang w:val="en-US" w:eastAsia="zh-CN"/>
        </w:rPr>
        <w:t>二是</w:t>
      </w:r>
      <w:r>
        <w:rPr>
          <w:rFonts w:hint="eastAsia" w:cs="仿宋_GB2312"/>
          <w:sz w:val="32"/>
          <w:szCs w:val="32"/>
          <w:lang w:val="en-US" w:eastAsia="zh-CN"/>
        </w:rPr>
        <w:t>规范加强信用体系的建设。重点针对非煤矿山、危险化学品、烟花爆竹等行业领域，建立健全安全生产信用体系，完善守法诚信褒奖机制和违法失信行为惩戒机制。</w:t>
      </w:r>
    </w:p>
    <w:p>
      <w:pPr>
        <w:pStyle w:val="3"/>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val="en-US" w:eastAsia="zh-CN"/>
        </w:rPr>
        <w:t>（四）开展安全生产专项整治。</w:t>
      </w: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b w:val="0"/>
          <w:bCs w:val="0"/>
          <w:color w:val="000000"/>
          <w:sz w:val="32"/>
          <w:szCs w:val="32"/>
          <w:lang w:val="en-US" w:eastAsia="zh-CN"/>
        </w:rPr>
        <w:t>强化重大节假日督查检查。</w:t>
      </w:r>
      <w:r>
        <w:rPr>
          <w:rFonts w:hint="eastAsia" w:ascii="仿宋_GB2312" w:hAnsi="仿宋_GB2312" w:eastAsia="仿宋_GB2312" w:cs="仿宋_GB2312"/>
          <w:color w:val="000000"/>
          <w:sz w:val="32"/>
          <w:szCs w:val="32"/>
          <w:lang w:val="en-US" w:eastAsia="zh-CN"/>
        </w:rPr>
        <w:t>今年以来，共开展重大节假日督查检查5次，督查单位和企业共42个，发现存在问题120项。</w:t>
      </w:r>
      <w:r>
        <w:rPr>
          <w:rFonts w:hint="eastAsia" w:ascii="仿宋_GB2312" w:hAnsi="仿宋_GB2312" w:cs="仿宋_GB2312"/>
          <w:b/>
          <w:bCs/>
          <w:color w:val="000000"/>
          <w:sz w:val="32"/>
          <w:szCs w:val="32"/>
          <w:lang w:val="en-US" w:eastAsia="zh-CN"/>
        </w:rPr>
        <w:t>二是</w:t>
      </w:r>
      <w:r>
        <w:rPr>
          <w:rFonts w:hint="eastAsia" w:ascii="仿宋_GB2312" w:hAnsi="仿宋_GB2312" w:eastAsia="仿宋_GB2312" w:cs="仿宋_GB2312"/>
          <w:b w:val="0"/>
          <w:bCs w:val="0"/>
          <w:color w:val="000000"/>
          <w:sz w:val="32"/>
          <w:szCs w:val="32"/>
          <w:lang w:val="en-US" w:eastAsia="zh-CN"/>
        </w:rPr>
        <w:t>扎实推进非煤矿山安全专项整治三年行动。</w:t>
      </w:r>
      <w:r>
        <w:rPr>
          <w:rFonts w:hint="eastAsia" w:ascii="仿宋_GB2312" w:hAnsi="仿宋_GB2312" w:eastAsia="仿宋_GB2312" w:cs="仿宋_GB2312"/>
          <w:color w:val="000000"/>
          <w:sz w:val="32"/>
          <w:szCs w:val="32"/>
          <w:lang w:val="en-US" w:eastAsia="zh-CN"/>
        </w:rPr>
        <w:t>根据工作计划和进展情况，动态更新“一图两清单”，对问题隐患逐项销号，2021年发现非煤矿山企业重大事故隐患2项，均已完成整改。</w:t>
      </w:r>
      <w:r>
        <w:rPr>
          <w:rFonts w:hint="eastAsia" w:ascii="仿宋_GB2312" w:hAnsi="仿宋_GB2312" w:cs="仿宋_GB2312"/>
          <w:b/>
          <w:bCs/>
          <w:color w:val="000000"/>
          <w:sz w:val="32"/>
          <w:szCs w:val="32"/>
          <w:lang w:val="en-US" w:eastAsia="zh-CN"/>
        </w:rPr>
        <w:t>三是</w:t>
      </w:r>
      <w:r>
        <w:rPr>
          <w:rFonts w:hint="eastAsia" w:ascii="仿宋_GB2312" w:hAnsi="仿宋_GB2312" w:eastAsia="仿宋_GB2312" w:cs="仿宋_GB2312"/>
          <w:b w:val="0"/>
          <w:bCs w:val="0"/>
          <w:sz w:val="32"/>
          <w:szCs w:val="32"/>
        </w:rPr>
        <w:t>深入开展危险化学品重大危险源企业专项检查督导。</w:t>
      </w:r>
      <w:r>
        <w:rPr>
          <w:rFonts w:hint="eastAsia" w:ascii="仿宋_GB2312" w:hAnsi="仿宋_GB2312" w:eastAsia="仿宋_GB2312" w:cs="仿宋_GB2312"/>
          <w:kern w:val="0"/>
          <w:sz w:val="32"/>
          <w:szCs w:val="32"/>
        </w:rPr>
        <w:t>会同市应急管理局、市消防救援支队及化工专家对全县4家重大危险源企业进行了专项检查督导，共查出隐患10项，下发责令限期整改指令书3份</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进一步巩固了重大危险源企业的安全稳定。</w:t>
      </w:r>
      <w:r>
        <w:rPr>
          <w:rFonts w:hint="eastAsia" w:ascii="仿宋_GB2312" w:hAnsi="仿宋_GB2312" w:cs="仿宋_GB2312"/>
          <w:b/>
          <w:bCs/>
          <w:kern w:val="0"/>
          <w:sz w:val="32"/>
          <w:szCs w:val="32"/>
          <w:lang w:val="en-US" w:eastAsia="zh-CN"/>
        </w:rPr>
        <w:t>四是</w:t>
      </w:r>
      <w:r>
        <w:rPr>
          <w:rFonts w:hint="eastAsia" w:ascii="仿宋_GB2312" w:hAnsi="仿宋_GB2312" w:eastAsia="仿宋_GB2312" w:cs="仿宋_GB2312"/>
          <w:b w:val="0"/>
          <w:bCs/>
          <w:color w:val="000000"/>
          <w:sz w:val="32"/>
          <w:szCs w:val="32"/>
          <w:shd w:val="clear" w:color="auto" w:fill="FFFFFF"/>
        </w:rPr>
        <w:t>突出</w:t>
      </w:r>
      <w:r>
        <w:rPr>
          <w:rFonts w:hint="eastAsia" w:ascii="仿宋_GB2312" w:hAnsi="仿宋_GB2312" w:eastAsia="仿宋_GB2312" w:cs="仿宋_GB2312"/>
          <w:b w:val="0"/>
          <w:bCs/>
          <w:color w:val="000000"/>
          <w:sz w:val="32"/>
          <w:szCs w:val="32"/>
          <w:shd w:val="clear" w:color="auto" w:fill="FFFFFF"/>
          <w:lang w:val="en-US" w:eastAsia="zh-CN"/>
        </w:rPr>
        <w:t>企业安全生产全覆盖</w:t>
      </w:r>
      <w:r>
        <w:rPr>
          <w:rFonts w:hint="eastAsia" w:ascii="仿宋_GB2312" w:hAnsi="仿宋_GB2312" w:eastAsia="仿宋_GB2312" w:cs="仿宋_GB2312"/>
          <w:b w:val="0"/>
          <w:bCs/>
          <w:color w:val="000000"/>
          <w:sz w:val="32"/>
          <w:szCs w:val="32"/>
          <w:shd w:val="clear" w:color="auto" w:fill="FFFFFF"/>
        </w:rPr>
        <w:t>隐患排查治理</w:t>
      </w:r>
      <w:r>
        <w:rPr>
          <w:rFonts w:hint="eastAsia" w:ascii="仿宋_GB2312" w:hAnsi="仿宋_GB2312" w:eastAsia="仿宋_GB2312" w:cs="仿宋_GB2312"/>
          <w:b w:val="0"/>
          <w:bCs/>
          <w:kern w:val="0"/>
          <w:sz w:val="32"/>
          <w:szCs w:val="32"/>
        </w:rPr>
        <w:t>。</w:t>
      </w:r>
      <w:r>
        <w:rPr>
          <w:rFonts w:hint="eastAsia" w:ascii="仿宋_GB2312" w:hAnsi="仿宋_GB2312" w:eastAsia="仿宋_GB2312" w:cs="仿宋_GB2312"/>
          <w:kern w:val="0"/>
          <w:sz w:val="32"/>
          <w:szCs w:val="32"/>
          <w:lang w:val="en-US" w:eastAsia="zh-CN"/>
        </w:rPr>
        <w:t>2021年7月至10月</w:t>
      </w:r>
      <w:r>
        <w:rPr>
          <w:rFonts w:hint="eastAsia" w:ascii="仿宋_GB2312" w:hAnsi="仿宋_GB2312" w:eastAsia="仿宋_GB2312" w:cs="仿宋_GB2312"/>
          <w:color w:val="000000"/>
          <w:sz w:val="32"/>
          <w:szCs w:val="32"/>
          <w:lang w:val="en-US" w:eastAsia="zh-CN"/>
        </w:rPr>
        <w:t>，聘请第三方专业技术服务机构派出行业专家对我县26家工贸企业、8家非煤矿山企业、</w:t>
      </w:r>
      <w:r>
        <w:rPr>
          <w:rFonts w:hint="eastAsia" w:ascii="仿宋_GB2312" w:hAnsi="仿宋_GB2312" w:eastAsia="仿宋_GB2312" w:cs="仿宋_GB2312"/>
          <w:kern w:val="0"/>
          <w:sz w:val="32"/>
          <w:szCs w:val="32"/>
          <w:lang w:val="en-US" w:eastAsia="zh-CN"/>
        </w:rPr>
        <w:t>33</w:t>
      </w:r>
      <w:r>
        <w:rPr>
          <w:rFonts w:hint="eastAsia" w:ascii="仿宋_GB2312" w:hAnsi="仿宋_GB2312" w:eastAsia="仿宋_GB2312" w:cs="仿宋_GB2312"/>
          <w:kern w:val="0"/>
          <w:sz w:val="32"/>
          <w:szCs w:val="32"/>
        </w:rPr>
        <w:t>家化工、医药和危险化学品企业</w:t>
      </w:r>
      <w:r>
        <w:rPr>
          <w:rFonts w:hint="eastAsia" w:ascii="仿宋_GB2312" w:hAnsi="仿宋_GB2312" w:eastAsia="仿宋_GB2312" w:cs="仿宋_GB2312"/>
          <w:color w:val="000000"/>
          <w:sz w:val="32"/>
          <w:szCs w:val="32"/>
          <w:lang w:val="en-US" w:eastAsia="zh-CN"/>
        </w:rPr>
        <w:t>开展隐患排查治理工作，</w:t>
      </w:r>
      <w:r>
        <w:rPr>
          <w:rFonts w:hint="eastAsia" w:ascii="仿宋_GB2312" w:hAnsi="仿宋_GB2312" w:eastAsia="仿宋_GB2312" w:cs="仿宋_GB2312"/>
          <w:color w:val="000000"/>
          <w:sz w:val="32"/>
          <w:szCs w:val="32"/>
        </w:rPr>
        <w:t>通过聚焦高风险区域，细化安全防控措施，不断提高安全水平和安全风险管控能力</w:t>
      </w:r>
      <w:r>
        <w:rPr>
          <w:rFonts w:hint="eastAsia" w:ascii="仿宋_GB2312" w:hAnsi="仿宋_GB2312" w:eastAsia="仿宋_GB2312" w:cs="仿宋_GB2312"/>
          <w:kern w:val="0"/>
          <w:sz w:val="32"/>
          <w:szCs w:val="32"/>
        </w:rPr>
        <w:t>。期间共排查一般隐患</w:t>
      </w:r>
      <w:r>
        <w:rPr>
          <w:rFonts w:hint="eastAsia" w:ascii="仿宋_GB2312" w:hAnsi="仿宋_GB2312" w:eastAsia="仿宋_GB2312" w:cs="仿宋_GB2312"/>
          <w:kern w:val="0"/>
          <w:sz w:val="32"/>
          <w:szCs w:val="32"/>
          <w:lang w:val="en-US" w:eastAsia="zh-CN"/>
        </w:rPr>
        <w:t>363</w:t>
      </w:r>
      <w:r>
        <w:rPr>
          <w:rFonts w:hint="eastAsia" w:ascii="仿宋_GB2312" w:hAnsi="仿宋_GB2312" w:eastAsia="仿宋_GB2312" w:cs="仿宋_GB2312"/>
          <w:kern w:val="0"/>
          <w:sz w:val="32"/>
          <w:szCs w:val="32"/>
        </w:rPr>
        <w:t>项，目前，所有隐患已全部整改完善。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楷体_GB2312" w:cs="仿宋_GB2312"/>
          <w:sz w:val="32"/>
          <w:szCs w:val="32"/>
          <w:lang w:val="en-US" w:eastAsia="zh-CN"/>
        </w:rPr>
      </w:pPr>
      <w:r>
        <w:rPr>
          <w:rFonts w:hint="eastAsia" w:ascii="楷体_GB2312" w:hAnsi="楷体_GB2312" w:eastAsia="楷体_GB2312" w:cs="楷体_GB2312"/>
          <w:sz w:val="32"/>
          <w:szCs w:val="32"/>
          <w:lang w:val="en-US" w:eastAsia="zh-CN"/>
        </w:rPr>
        <w:t>（五）加强</w:t>
      </w:r>
      <w:r>
        <w:rPr>
          <w:rFonts w:hint="eastAsia" w:ascii="楷体_GB2312" w:eastAsia="楷体_GB2312"/>
          <w:sz w:val="32"/>
          <w:szCs w:val="32"/>
        </w:rPr>
        <w:t>安全生产宣传教育</w:t>
      </w:r>
      <w:r>
        <w:rPr>
          <w:rFonts w:hint="eastAsia" w:ascii="楷体_GB2312" w:eastAsia="楷体_GB2312"/>
          <w:sz w:val="32"/>
          <w:szCs w:val="32"/>
          <w:lang w:eastAsia="zh-CN"/>
        </w:rPr>
        <w:t>。</w:t>
      </w:r>
      <w:r>
        <w:rPr>
          <w:rFonts w:hint="eastAsia" w:ascii="仿宋_GB2312"/>
          <w:color w:val="auto"/>
          <w:sz w:val="32"/>
          <w:szCs w:val="32"/>
          <w:lang w:val="en-US" w:eastAsia="zh-CN"/>
        </w:rPr>
        <w:t>8月31日，县应急管理局</w:t>
      </w:r>
      <w:r>
        <w:rPr>
          <w:rFonts w:hint="eastAsia" w:ascii="仿宋_GB2312" w:eastAsia="仿宋_GB2312"/>
          <w:color w:val="auto"/>
          <w:sz w:val="32"/>
          <w:szCs w:val="32"/>
          <w:lang w:val="en-US" w:eastAsia="zh-CN"/>
        </w:rPr>
        <w:t>联合县住建局、开发区及保险公司等相关部门</w:t>
      </w:r>
      <w:r>
        <w:rPr>
          <w:rFonts w:hint="eastAsia" w:ascii="仿宋_GB2312"/>
          <w:color w:val="auto"/>
          <w:sz w:val="32"/>
          <w:szCs w:val="32"/>
          <w:lang w:val="en-US" w:eastAsia="zh-CN"/>
        </w:rPr>
        <w:t>，</w:t>
      </w:r>
      <w:r>
        <w:rPr>
          <w:rFonts w:hint="eastAsia" w:ascii="仿宋_GB2312" w:eastAsia="仿宋_GB2312"/>
          <w:color w:val="auto"/>
          <w:sz w:val="32"/>
          <w:szCs w:val="32"/>
          <w:lang w:val="en-US" w:eastAsia="zh-CN"/>
        </w:rPr>
        <w:t>组织全县化工及烟花爆竹70余家企业的主要负责人和安全管理人员，开展新《中华人民共和国安全生产法》宣讲和安全生产事故预防服务培训活动</w:t>
      </w:r>
      <w:r>
        <w:rPr>
          <w:rFonts w:hint="eastAsia" w:ascii="仿宋_GB2312"/>
          <w:color w:val="auto"/>
          <w:sz w:val="32"/>
          <w:szCs w:val="32"/>
          <w:lang w:val="en-US" w:eastAsia="zh-CN"/>
        </w:rPr>
        <w:t>，</w:t>
      </w:r>
      <w:r>
        <w:rPr>
          <w:rFonts w:hint="eastAsia" w:ascii="仿宋_GB2312" w:eastAsia="仿宋_GB2312"/>
          <w:color w:val="auto"/>
          <w:sz w:val="32"/>
          <w:szCs w:val="32"/>
          <w:lang w:val="en-US" w:eastAsia="zh-CN"/>
        </w:rPr>
        <w:t>推动各生产企业乃至全县安全生产工作更上新台阶。</w:t>
      </w:r>
      <w:r>
        <w:rPr>
          <w:rFonts w:hint="eastAsia" w:ascii="仿宋_GB2312" w:hAnsi="仿宋_GB2312" w:cs="仿宋_GB2312"/>
          <w:color w:val="auto"/>
          <w:sz w:val="32"/>
          <w:szCs w:val="32"/>
          <w:lang w:val="en-US" w:eastAsia="zh-CN"/>
        </w:rPr>
        <w:t>今年以来，共</w:t>
      </w:r>
      <w:r>
        <w:rPr>
          <w:rFonts w:hint="eastAsia" w:ascii="仿宋_GB2312" w:eastAsia="仿宋_GB2312"/>
          <w:color w:val="auto"/>
          <w:sz w:val="32"/>
          <w:szCs w:val="32"/>
          <w:lang w:val="en-US" w:eastAsia="zh-CN"/>
        </w:rPr>
        <w:t>举办化工、烟花爆竹领域安全</w:t>
      </w:r>
      <w:r>
        <w:rPr>
          <w:rFonts w:hint="eastAsia" w:ascii="仿宋_GB2312"/>
          <w:color w:val="auto"/>
          <w:sz w:val="32"/>
          <w:szCs w:val="32"/>
          <w:lang w:val="en-US" w:eastAsia="zh-CN"/>
        </w:rPr>
        <w:t>生产</w:t>
      </w:r>
      <w:r>
        <w:rPr>
          <w:rFonts w:hint="eastAsia" w:ascii="仿宋_GB2312" w:eastAsia="仿宋_GB2312"/>
          <w:color w:val="auto"/>
          <w:sz w:val="32"/>
          <w:szCs w:val="32"/>
          <w:lang w:val="en-US" w:eastAsia="zh-CN"/>
        </w:rPr>
        <w:t>培训</w:t>
      </w:r>
      <w:r>
        <w:rPr>
          <w:rFonts w:hint="eastAsia" w:ascii="仿宋_GB2312"/>
          <w:color w:val="auto"/>
          <w:sz w:val="32"/>
          <w:szCs w:val="32"/>
          <w:lang w:val="en-US" w:eastAsia="zh-CN"/>
        </w:rPr>
        <w:t>1期、</w:t>
      </w:r>
      <w:r>
        <w:rPr>
          <w:rFonts w:hint="eastAsia" w:ascii="仿宋_GB2312" w:eastAsia="仿宋_GB2312"/>
          <w:color w:val="auto"/>
          <w:sz w:val="32"/>
          <w:szCs w:val="32"/>
          <w:lang w:val="en-US" w:eastAsia="zh-CN"/>
        </w:rPr>
        <w:t>工贸行业企业和非煤矿山企业安全生产知识培训班2期，聘请专家对我县各镇安全生产监管人员和企业主要负责人、安全管理人员和一线员工进行了安全生产知识培训，</w:t>
      </w:r>
      <w:r>
        <w:rPr>
          <w:rFonts w:hint="eastAsia" w:ascii="仿宋_GB2312"/>
          <w:color w:val="auto"/>
          <w:sz w:val="32"/>
          <w:szCs w:val="32"/>
          <w:lang w:val="en-US" w:eastAsia="zh-CN"/>
        </w:rPr>
        <w:t>1532</w:t>
      </w:r>
      <w:r>
        <w:rPr>
          <w:rFonts w:hint="eastAsia" w:ascii="仿宋_GB2312" w:eastAsia="仿宋_GB2312"/>
          <w:color w:val="auto"/>
          <w:sz w:val="32"/>
          <w:szCs w:val="32"/>
          <w:lang w:val="en-US" w:eastAsia="zh-CN"/>
        </w:rPr>
        <w:t>人（次）参加培训。</w:t>
      </w:r>
    </w:p>
    <w:p>
      <w:pPr>
        <w:pStyle w:val="2"/>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val="en-US" w:eastAsia="zh-CN"/>
        </w:rPr>
        <w:t>三、</w:t>
      </w:r>
      <w:r>
        <w:rPr>
          <w:rFonts w:hint="eastAsia" w:ascii="黑体" w:hAnsi="黑体" w:eastAsia="黑体" w:cs="黑体"/>
          <w:sz w:val="32"/>
          <w:szCs w:val="32"/>
          <w:lang w:eastAsia="zh-CN"/>
        </w:rPr>
        <w:t>202</w:t>
      </w:r>
      <w:r>
        <w:rPr>
          <w:rFonts w:hint="eastAsia" w:ascii="黑体" w:hAnsi="黑体" w:eastAsia="黑体" w:cs="黑体"/>
          <w:sz w:val="32"/>
          <w:szCs w:val="32"/>
          <w:lang w:val="en-US" w:eastAsia="zh-CN"/>
        </w:rPr>
        <w:t>1</w:t>
      </w:r>
      <w:r>
        <w:rPr>
          <w:rFonts w:hint="eastAsia" w:ascii="黑体" w:hAnsi="黑体" w:eastAsia="黑体" w:cs="黑体"/>
          <w:sz w:val="32"/>
          <w:szCs w:val="32"/>
          <w:lang w:eastAsia="zh-CN"/>
        </w:rPr>
        <w:t>年推进法治政府建设存在的不足和原因</w:t>
      </w:r>
    </w:p>
    <w:p>
      <w:pPr>
        <w:pStyle w:val="2"/>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cs="仿宋_GB2312"/>
          <w:sz w:val="32"/>
          <w:szCs w:val="32"/>
          <w:lang w:val="en-US" w:eastAsia="zh-CN"/>
        </w:rPr>
        <w:t>一年来，</w:t>
      </w:r>
      <w:r>
        <w:rPr>
          <w:rFonts w:hint="eastAsia" w:ascii="仿宋_GB2312" w:hAnsi="仿宋_GB2312" w:eastAsia="仿宋_GB2312" w:cs="仿宋_GB2312"/>
          <w:sz w:val="32"/>
          <w:szCs w:val="32"/>
          <w:lang w:val="en-US" w:eastAsia="zh-CN"/>
        </w:rPr>
        <w:t>县应急管理局始终坚持不断落实和推进法治政府建设，但存在一些问题和不足：</w:t>
      </w:r>
      <w:r>
        <w:rPr>
          <w:rFonts w:hint="eastAsia" w:cs="仿宋_GB2312"/>
          <w:b/>
          <w:bCs/>
          <w:sz w:val="32"/>
          <w:szCs w:val="32"/>
          <w:lang w:val="en-US" w:eastAsia="zh-CN"/>
        </w:rPr>
        <w:t>一</w:t>
      </w:r>
      <w:r>
        <w:rPr>
          <w:rFonts w:hint="eastAsia" w:ascii="仿宋_GB2312" w:hAnsi="仿宋_GB2312" w:eastAsia="仿宋_GB2312" w:cs="仿宋_GB2312"/>
          <w:b/>
          <w:bCs/>
          <w:sz w:val="32"/>
          <w:szCs w:val="32"/>
          <w:lang w:val="en-US" w:eastAsia="zh-CN"/>
        </w:rPr>
        <w:t>是</w:t>
      </w:r>
      <w:r>
        <w:rPr>
          <w:rFonts w:hint="eastAsia" w:ascii="仿宋_GB2312" w:hAnsi="仿宋_GB2312" w:eastAsia="仿宋_GB2312" w:cs="仿宋_GB2312"/>
          <w:sz w:val="32"/>
          <w:szCs w:val="32"/>
          <w:lang w:val="en-US" w:eastAsia="zh-CN"/>
        </w:rPr>
        <w:t>在法治政府建设的方式方法上缺乏灵活性，</w:t>
      </w:r>
      <w:r>
        <w:rPr>
          <w:rFonts w:hint="eastAsia"/>
          <w:sz w:val="32"/>
          <w:lang w:eastAsia="zh-CN"/>
        </w:rPr>
        <w:t>开展</w:t>
      </w:r>
      <w:r>
        <w:rPr>
          <w:rFonts w:hint="eastAsia"/>
          <w:sz w:val="32"/>
          <w:lang w:val="en-US" w:eastAsia="zh-CN"/>
        </w:rPr>
        <w:t>法治</w:t>
      </w:r>
      <w:r>
        <w:rPr>
          <w:rFonts w:hint="eastAsia"/>
          <w:sz w:val="32"/>
          <w:lang w:eastAsia="zh-CN"/>
        </w:rPr>
        <w:t>宣传主要依靠派发宣传资料及</w:t>
      </w:r>
      <w:r>
        <w:rPr>
          <w:rFonts w:hint="eastAsia"/>
          <w:sz w:val="32"/>
          <w:lang w:val="en-US" w:eastAsia="zh-CN"/>
        </w:rPr>
        <w:t>LED屏滚动标语</w:t>
      </w:r>
      <w:r>
        <w:rPr>
          <w:rFonts w:hint="eastAsia"/>
          <w:sz w:val="32"/>
          <w:lang w:eastAsia="zh-CN"/>
        </w:rPr>
        <w:t>的方式，宣传形式缺乏创新，</w:t>
      </w:r>
      <w:r>
        <w:rPr>
          <w:rFonts w:hint="eastAsia" w:ascii="仿宋_GB2312" w:hAnsi="仿宋_GB2312" w:eastAsia="仿宋_GB2312" w:cs="仿宋_GB2312"/>
          <w:sz w:val="32"/>
          <w:szCs w:val="32"/>
          <w:lang w:val="en-US" w:eastAsia="zh-CN"/>
        </w:rPr>
        <w:t>需要进一步探索创新</w:t>
      </w:r>
      <w:r>
        <w:rPr>
          <w:rFonts w:hint="eastAsia" w:cs="仿宋_GB2312"/>
          <w:sz w:val="32"/>
          <w:szCs w:val="32"/>
          <w:lang w:val="en-US" w:eastAsia="zh-CN"/>
        </w:rPr>
        <w:t>法治</w:t>
      </w:r>
      <w:r>
        <w:rPr>
          <w:rFonts w:hint="eastAsia" w:ascii="仿宋_GB2312" w:hAnsi="仿宋_GB2312" w:eastAsia="仿宋_GB2312" w:cs="仿宋_GB2312"/>
          <w:sz w:val="32"/>
          <w:szCs w:val="32"/>
          <w:lang w:val="en-US" w:eastAsia="zh-CN"/>
        </w:rPr>
        <w:t>宣传教育的新方法、新措施。</w:t>
      </w:r>
      <w:r>
        <w:rPr>
          <w:rFonts w:hint="eastAsia" w:cs="仿宋_GB2312"/>
          <w:b/>
          <w:bCs/>
          <w:sz w:val="32"/>
          <w:szCs w:val="32"/>
          <w:lang w:val="en-US" w:eastAsia="zh-CN"/>
        </w:rPr>
        <w:t>二</w:t>
      </w:r>
      <w:r>
        <w:rPr>
          <w:rFonts w:hint="eastAsia" w:ascii="仿宋_GB2312" w:hAnsi="仿宋_GB2312" w:eastAsia="仿宋_GB2312" w:cs="仿宋_GB2312"/>
          <w:b/>
          <w:bCs/>
          <w:sz w:val="32"/>
          <w:szCs w:val="32"/>
          <w:lang w:val="en-US" w:eastAsia="zh-CN"/>
        </w:rPr>
        <w:t>是</w:t>
      </w:r>
      <w:r>
        <w:rPr>
          <w:rFonts w:hint="eastAsia" w:ascii="仿宋_GB2312" w:hAnsi="仿宋_GB2312" w:eastAsia="仿宋_GB2312" w:cs="仿宋_GB2312"/>
          <w:sz w:val="32"/>
          <w:szCs w:val="32"/>
          <w:lang w:val="en-US" w:eastAsia="zh-CN"/>
        </w:rPr>
        <w:t>执法水平和依法行政能力</w:t>
      </w:r>
      <w:r>
        <w:rPr>
          <w:rFonts w:hint="eastAsia" w:cs="仿宋_GB2312"/>
          <w:sz w:val="32"/>
          <w:szCs w:val="32"/>
          <w:lang w:val="en-US" w:eastAsia="zh-CN"/>
        </w:rPr>
        <w:t>有待提高</w:t>
      </w:r>
      <w:r>
        <w:rPr>
          <w:rFonts w:hint="eastAsia" w:ascii="仿宋_GB2312" w:hAnsi="仿宋_GB2312" w:eastAsia="仿宋_GB2312" w:cs="仿宋_GB2312"/>
          <w:sz w:val="32"/>
          <w:szCs w:val="32"/>
          <w:lang w:val="en-US" w:eastAsia="zh-CN"/>
        </w:rPr>
        <w:t>。虽然执法人员数量较往年有一定程度的增长，但仍然存在执法人员不足的情况，缺少应急管理、安全生产、防灾减灾、森林防灭火等各业务领域的专业人员。</w:t>
      </w:r>
    </w:p>
    <w:p>
      <w:pPr>
        <w:pStyle w:val="9"/>
        <w:keepNext w:val="0"/>
        <w:keepLines w:val="0"/>
        <w:pageBreakBefore w:val="0"/>
        <w:widowControl/>
        <w:numPr>
          <w:ilvl w:val="0"/>
          <w:numId w:val="0"/>
        </w:numPr>
        <w:kinsoku/>
        <w:wordWrap/>
        <w:overflowPunct/>
        <w:topLinePunct w:val="0"/>
        <w:autoSpaceDE/>
        <w:autoSpaceDN/>
        <w:bidi w:val="0"/>
        <w:adjustRightInd/>
        <w:snapToGrid/>
        <w:spacing w:line="560" w:lineRule="exact"/>
        <w:ind w:firstLine="632"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四、</w:t>
      </w:r>
      <w:r>
        <w:rPr>
          <w:rFonts w:hint="eastAsia" w:ascii="黑体" w:hAnsi="黑体" w:eastAsia="黑体" w:cs="黑体"/>
          <w:sz w:val="32"/>
          <w:szCs w:val="32"/>
          <w:lang w:val="en-US" w:eastAsia="zh-CN"/>
        </w:rPr>
        <w:t>2021</w:t>
      </w:r>
      <w:r>
        <w:rPr>
          <w:rFonts w:hint="eastAsia" w:ascii="黑体" w:hAnsi="黑体" w:eastAsia="黑体" w:cs="黑体"/>
          <w:sz w:val="32"/>
          <w:szCs w:val="32"/>
          <w:lang w:eastAsia="zh-CN"/>
        </w:rPr>
        <w:t>年党政主要负责人履行推进法治建设第一责任人职责，加强法治政府建设的有关情况</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32" w:firstLineChars="200"/>
        <w:jc w:val="both"/>
        <w:textAlignment w:val="auto"/>
        <w:rPr>
          <w:rFonts w:hint="eastAsia" w:ascii="仿宋_GB2312" w:hAnsi="仿宋_GB2312" w:eastAsia="仿宋_GB2312" w:cs="仿宋_GB2312"/>
          <w:i w:val="0"/>
          <w:caps w:val="0"/>
          <w:color w:val="auto"/>
          <w:spacing w:val="0"/>
          <w:kern w:val="0"/>
          <w:sz w:val="32"/>
          <w:szCs w:val="32"/>
          <w:lang w:val="en-US" w:eastAsia="zh-CN" w:bidi="ar"/>
        </w:rPr>
      </w:pPr>
      <w:r>
        <w:rPr>
          <w:rFonts w:hint="eastAsia" w:ascii="仿宋_GB2312" w:hAnsi="仿宋_GB2312" w:eastAsia="仿宋_GB2312" w:cs="仿宋_GB2312"/>
          <w:i w:val="0"/>
          <w:caps w:val="0"/>
          <w:color w:val="auto"/>
          <w:spacing w:val="0"/>
          <w:kern w:val="0"/>
          <w:sz w:val="32"/>
          <w:szCs w:val="32"/>
          <w:lang w:val="en-US" w:eastAsia="zh-CN" w:bidi="ar"/>
        </w:rPr>
        <w:t>（一）加强组织领导</w:t>
      </w:r>
      <w:r>
        <w:rPr>
          <w:rFonts w:hint="eastAsia" w:ascii="仿宋_GB2312" w:hAnsi="仿宋_GB2312" w:cs="仿宋_GB2312"/>
          <w:i w:val="0"/>
          <w:caps w:val="0"/>
          <w:color w:val="auto"/>
          <w:spacing w:val="0"/>
          <w:kern w:val="0"/>
          <w:sz w:val="32"/>
          <w:szCs w:val="32"/>
          <w:lang w:val="en-US" w:eastAsia="zh-CN" w:bidi="ar"/>
        </w:rPr>
        <w:t xml:space="preserve"> </w:t>
      </w:r>
      <w:r>
        <w:rPr>
          <w:rFonts w:hint="eastAsia" w:ascii="仿宋_GB2312" w:hAnsi="仿宋_GB2312" w:eastAsia="仿宋_GB2312" w:cs="仿宋_GB2312"/>
          <w:i w:val="0"/>
          <w:caps w:val="0"/>
          <w:color w:val="auto"/>
          <w:spacing w:val="0"/>
          <w:kern w:val="0"/>
          <w:sz w:val="32"/>
          <w:szCs w:val="32"/>
          <w:lang w:val="en-US" w:eastAsia="zh-CN" w:bidi="ar"/>
        </w:rPr>
        <w:t>发挥核心作用</w:t>
      </w:r>
    </w:p>
    <w:p>
      <w:pPr>
        <w:pStyle w:val="2"/>
        <w:keepNext w:val="0"/>
        <w:keepLines w:val="0"/>
        <w:pageBreakBefore w:val="0"/>
        <w:widowControl w:val="0"/>
        <w:kinsoku/>
        <w:wordWrap/>
        <w:overflowPunct/>
        <w:topLinePunct w:val="0"/>
        <w:autoSpaceDE w:val="0"/>
        <w:autoSpaceDN w:val="0"/>
        <w:bidi w:val="0"/>
        <w:adjustRightInd/>
        <w:snapToGrid/>
        <w:spacing w:line="560" w:lineRule="exact"/>
        <w:ind w:firstLine="632"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带头组织党组成员、全局党员干部学习研究宪法、民法典、党章及党内法规制度，提高党内法规制度执行力。</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s="仿宋_GB2312"/>
          <w:color w:val="auto"/>
          <w:sz w:val="32"/>
          <w:szCs w:val="32"/>
          <w:lang w:val="en-US" w:eastAsia="zh-CN"/>
        </w:rPr>
        <w:t>定期召开法治建设工作专题研究会议，听取法治建设有关工作汇报，及时研究解决有关重大问题。</w:t>
      </w:r>
      <w:r>
        <w:rPr>
          <w:rFonts w:hint="eastAsia" w:ascii="仿宋_GB2312" w:hAnsi="仿宋_GB2312" w:eastAsia="仿宋_GB2312" w:cs="仿宋_GB2312"/>
          <w:b/>
          <w:bCs/>
          <w:color w:val="auto"/>
          <w:sz w:val="32"/>
          <w:szCs w:val="32"/>
          <w:lang w:val="en-US" w:eastAsia="zh-CN"/>
        </w:rPr>
        <w:t>三是</w:t>
      </w:r>
      <w:r>
        <w:rPr>
          <w:rFonts w:hint="eastAsia" w:ascii="仿宋_GB2312" w:hAnsi="仿宋_GB2312" w:eastAsia="仿宋_GB2312" w:cs="仿宋_GB2312"/>
          <w:color w:val="auto"/>
          <w:sz w:val="32"/>
          <w:szCs w:val="32"/>
          <w:lang w:val="en-US" w:eastAsia="zh-CN"/>
        </w:rPr>
        <w:t>加强法治工作队伍建设，建立完善法治建设骨干队伍，发挥以老带新、以点带面的传帮带作用，重视法治素养和法治能力的人才培训，提高</w:t>
      </w:r>
      <w:r>
        <w:rPr>
          <w:rFonts w:hint="eastAsia" w:cs="仿宋_GB2312"/>
          <w:color w:val="auto"/>
          <w:sz w:val="32"/>
          <w:szCs w:val="32"/>
          <w:lang w:val="en-US" w:eastAsia="zh-CN"/>
        </w:rPr>
        <w:t>县应急管理</w:t>
      </w:r>
      <w:r>
        <w:rPr>
          <w:rFonts w:hint="eastAsia" w:ascii="仿宋_GB2312" w:hAnsi="仿宋_GB2312" w:eastAsia="仿宋_GB2312" w:cs="仿宋_GB2312"/>
          <w:color w:val="auto"/>
          <w:sz w:val="32"/>
          <w:szCs w:val="32"/>
          <w:lang w:val="en-US" w:eastAsia="zh-CN"/>
        </w:rPr>
        <w:t>局法治建设整体素质。</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textAlignment w:val="auto"/>
        <w:rPr>
          <w:rFonts w:hint="eastAsia" w:ascii="仿宋_GB2312" w:hAnsi="仿宋_GB2312" w:eastAsia="仿宋_GB2312" w:cs="仿宋_GB2312"/>
          <w:i w:val="0"/>
          <w:caps w:val="0"/>
          <w:color w:val="auto"/>
          <w:spacing w:val="0"/>
          <w:kern w:val="0"/>
          <w:sz w:val="32"/>
          <w:szCs w:val="32"/>
          <w:lang w:val="en-US" w:eastAsia="zh-CN" w:bidi="ar"/>
        </w:rPr>
      </w:pPr>
      <w:r>
        <w:rPr>
          <w:rFonts w:hint="eastAsia" w:cs="仿宋_GB2312"/>
          <w:i w:val="0"/>
          <w:caps w:val="0"/>
          <w:color w:val="auto"/>
          <w:spacing w:val="0"/>
          <w:kern w:val="0"/>
          <w:sz w:val="32"/>
          <w:szCs w:val="32"/>
          <w:lang w:val="en-US" w:eastAsia="zh-CN" w:bidi="ar"/>
        </w:rPr>
        <w:t>（二）推进依法决策 确保合法合规</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ascii="仿宋_GB2312" w:eastAsia="仿宋_GB2312"/>
          <w:sz w:val="32"/>
          <w:szCs w:val="32"/>
        </w:rPr>
      </w:pPr>
      <w:r>
        <w:rPr>
          <w:rFonts w:hint="eastAsia"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严格落实《重大行政决策程序暂行条例》，积极推动形成事前规范、事中把关、事后跟踪“三位一体”的重大决策纠偏机制。</w:t>
      </w:r>
      <w:r>
        <w:rPr>
          <w:rFonts w:hint="eastAsia" w:cs="仿宋_GB2312"/>
          <w:b/>
          <w:bCs/>
          <w:color w:val="auto"/>
          <w:sz w:val="32"/>
          <w:szCs w:val="32"/>
          <w:lang w:val="en-US" w:eastAsia="zh-CN"/>
        </w:rPr>
        <w:t>二是</w:t>
      </w:r>
      <w:r>
        <w:rPr>
          <w:rFonts w:hint="eastAsia" w:ascii="仿宋_GB2312" w:eastAsia="仿宋_GB2312"/>
          <w:color w:val="000000" w:themeColor="text1"/>
          <w:sz w:val="32"/>
          <w:szCs w:val="32"/>
          <w:lang w:val="en-US" w:eastAsia="zh-CN"/>
          <w14:textFill>
            <w14:solidFill>
              <w14:schemeClr w14:val="tx1"/>
            </w14:solidFill>
          </w14:textFill>
        </w:rPr>
        <w:t>依法依规核发安全生产许可证。</w:t>
      </w:r>
      <w:r>
        <w:rPr>
          <w:rFonts w:hint="eastAsia" w:ascii="仿宋_GB2312"/>
          <w:color w:val="000000" w:themeColor="text1"/>
          <w:sz w:val="32"/>
          <w:szCs w:val="32"/>
          <w:lang w:val="en-US" w:eastAsia="zh-CN"/>
          <w14:textFill>
            <w14:solidFill>
              <w14:schemeClr w14:val="tx1"/>
            </w14:solidFill>
          </w14:textFill>
        </w:rPr>
        <w:t>2021年，</w:t>
      </w:r>
      <w:r>
        <w:rPr>
          <w:rFonts w:hint="eastAsia" w:ascii="仿宋_GB2312" w:eastAsia="仿宋_GB2312"/>
          <w:color w:val="000000" w:themeColor="text1"/>
          <w:sz w:val="32"/>
          <w:szCs w:val="32"/>
          <w:lang w:val="en-US" w:eastAsia="zh-CN"/>
          <w14:textFill>
            <w14:solidFill>
              <w14:schemeClr w14:val="tx1"/>
            </w14:solidFill>
          </w14:textFill>
        </w:rPr>
        <w:t>严格依照《安全生产许可证条例》、《非煤矿山安全生产许可证实施办法》等法规，核发非煤矿山企业安全生产许可证2家</w:t>
      </w:r>
      <w:r>
        <w:rPr>
          <w:rFonts w:hint="eastAsia"/>
          <w:color w:val="auto"/>
          <w:sz w:val="32"/>
          <w:szCs w:val="32"/>
          <w:lang w:val="en-US" w:eastAsia="zh-CN"/>
        </w:rPr>
        <w:t>。</w:t>
      </w:r>
      <w:r>
        <w:rPr>
          <w:rFonts w:hint="eastAsia"/>
          <w:b/>
          <w:bCs/>
          <w:color w:val="auto"/>
          <w:sz w:val="32"/>
          <w:szCs w:val="32"/>
          <w:lang w:val="en-US" w:eastAsia="zh-CN"/>
        </w:rPr>
        <w:t>三是</w:t>
      </w:r>
      <w:r>
        <w:rPr>
          <w:rFonts w:hint="eastAsia" w:ascii="仿宋_GB2312" w:hAnsi="仿宋_GB2312" w:eastAsia="仿宋_GB2312" w:cs="仿宋_GB2312"/>
          <w:sz w:val="32"/>
          <w:szCs w:val="32"/>
        </w:rPr>
        <w:t>加强规范安全事故调查处理</w:t>
      </w:r>
      <w:r>
        <w:rPr>
          <w:rFonts w:hint="eastAsia" w:cs="仿宋_GB2312"/>
          <w:sz w:val="32"/>
          <w:szCs w:val="32"/>
          <w:lang w:eastAsia="zh-CN"/>
        </w:rPr>
        <w:t>。</w:t>
      </w:r>
      <w:r>
        <w:rPr>
          <w:rFonts w:hint="eastAsia" w:ascii="仿宋_GB2312" w:eastAsia="仿宋_GB2312"/>
          <w:sz w:val="32"/>
          <w:szCs w:val="32"/>
        </w:rPr>
        <w:t>邀请</w:t>
      </w:r>
      <w:r>
        <w:rPr>
          <w:rFonts w:hint="eastAsia" w:ascii="仿宋_GB2312"/>
          <w:sz w:val="32"/>
          <w:szCs w:val="32"/>
          <w:lang w:val="en-US" w:eastAsia="zh-CN"/>
        </w:rPr>
        <w:t>专家</w:t>
      </w:r>
      <w:r>
        <w:rPr>
          <w:rFonts w:hint="eastAsia" w:ascii="仿宋_GB2312" w:eastAsia="仿宋_GB2312"/>
          <w:sz w:val="32"/>
          <w:szCs w:val="32"/>
        </w:rPr>
        <w:t>对事故开展专业分析，推动行业</w:t>
      </w:r>
      <w:r>
        <w:rPr>
          <w:rFonts w:hint="eastAsia" w:ascii="仿宋_GB2312"/>
          <w:sz w:val="32"/>
          <w:szCs w:val="32"/>
          <w:lang w:val="en-US" w:eastAsia="zh-CN"/>
        </w:rPr>
        <w:t>企业开展</w:t>
      </w:r>
      <w:r>
        <w:rPr>
          <w:rFonts w:hint="eastAsia" w:ascii="仿宋_GB2312" w:eastAsia="仿宋_GB2312"/>
          <w:sz w:val="32"/>
          <w:szCs w:val="32"/>
        </w:rPr>
        <w:t>自查自纠，切实落实生产安全事故责任追究制度，督促各相关部门和企业深刻吸取事故教训，加强领域安全防范，做到坚持监督与管理相结合，查处与惩治相统一。</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textAlignment w:val="auto"/>
        <w:rPr>
          <w:rFonts w:hint="eastAsia" w:ascii="仿宋_GB2312" w:hAnsi="仿宋_GB2312" w:eastAsia="仿宋_GB2312" w:cs="仿宋_GB2312"/>
          <w:color w:val="auto"/>
          <w:sz w:val="32"/>
          <w:szCs w:val="32"/>
          <w:lang w:val="en-US" w:eastAsia="zh-CN"/>
        </w:rPr>
      </w:pPr>
      <w:r>
        <w:rPr>
          <w:rFonts w:hint="eastAsia" w:cs="仿宋_GB2312"/>
          <w:color w:val="auto"/>
          <w:sz w:val="32"/>
          <w:szCs w:val="32"/>
          <w:lang w:val="en-US" w:eastAsia="zh-CN"/>
        </w:rPr>
        <w:t>（三）加强制度建设 严格规范执法</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lang w:eastAsia="zh-CN"/>
        </w:rPr>
        <w:t>一是</w:t>
      </w:r>
      <w:r>
        <w:rPr>
          <w:rFonts w:hint="eastAsia" w:ascii="仿宋_GB2312" w:hAnsi="仿宋_GB2312" w:eastAsia="仿宋_GB2312" w:cs="仿宋_GB2312"/>
          <w:color w:val="auto"/>
          <w:sz w:val="32"/>
          <w:szCs w:val="32"/>
        </w:rPr>
        <w:t>加强制度建设，完善依法行政工作机制。不断落实依法治理和行政执法责任，促进安全法治化管理，完善了依法行政工作机制，推行了行政执法责任制，规范了依法行政监督制，实行了首问负责制、限时办结制，建立重大事项依法决策、民主管理制，使依法行政工作不断加强。</w:t>
      </w:r>
      <w:r>
        <w:rPr>
          <w:rFonts w:hint="eastAsia" w:ascii="仿宋_GB2312" w:hAnsi="仿宋_GB2312" w:eastAsia="仿宋_GB2312" w:cs="仿宋_GB2312"/>
          <w:b/>
          <w:bCs/>
          <w:color w:val="auto"/>
          <w:sz w:val="32"/>
          <w:szCs w:val="32"/>
          <w:lang w:eastAsia="zh-CN"/>
        </w:rPr>
        <w:t>二是</w:t>
      </w:r>
      <w:r>
        <w:rPr>
          <w:rFonts w:hint="eastAsia" w:ascii="仿宋_GB2312" w:hAnsi="仿宋_GB2312" w:eastAsia="仿宋_GB2312" w:cs="仿宋_GB2312"/>
          <w:color w:val="auto"/>
          <w:sz w:val="32"/>
          <w:szCs w:val="32"/>
        </w:rPr>
        <w:t>严格依法管理，规范公正文明执法。严格落实中央关于党和国家机构改革以及行政执法体制改革决策部署，加强推行行政执法“三项制度”。严格实行行政执法人员持证上岗和资格管理制度，</w:t>
      </w:r>
      <w:r>
        <w:rPr>
          <w:rFonts w:hint="eastAsia" w:ascii="仿宋_GB2312" w:hAnsi="仿宋_GB2312" w:eastAsia="仿宋_GB2312" w:cs="仿宋_GB2312"/>
          <w:color w:val="auto"/>
          <w:sz w:val="32"/>
          <w:szCs w:val="32"/>
          <w:lang w:eastAsia="zh-CN"/>
        </w:rPr>
        <w:t>明确</w:t>
      </w:r>
      <w:r>
        <w:rPr>
          <w:rFonts w:hint="eastAsia" w:ascii="仿宋_GB2312" w:hAnsi="仿宋_GB2312" w:eastAsia="仿宋_GB2312" w:cs="仿宋_GB2312"/>
          <w:color w:val="auto"/>
          <w:sz w:val="32"/>
          <w:szCs w:val="32"/>
        </w:rPr>
        <w:t>行政执法主体1个和执法人员</w:t>
      </w:r>
      <w:r>
        <w:rPr>
          <w:rFonts w:hint="eastAsia" w:ascii="仿宋_GB2312" w:hAnsi="仿宋_GB2312" w:cs="仿宋_GB2312"/>
          <w:color w:val="auto"/>
          <w:sz w:val="32"/>
          <w:szCs w:val="32"/>
          <w:lang w:val="en-US" w:eastAsia="zh-CN"/>
        </w:rPr>
        <w:t>19</w:t>
      </w:r>
      <w:r>
        <w:rPr>
          <w:rFonts w:hint="eastAsia" w:ascii="仿宋_GB2312" w:hAnsi="仿宋_GB2312" w:eastAsia="仿宋_GB2312" w:cs="仿宋_GB2312"/>
          <w:color w:val="auto"/>
          <w:sz w:val="32"/>
          <w:szCs w:val="32"/>
        </w:rPr>
        <w:t>名</w:t>
      </w:r>
      <w:r>
        <w:rPr>
          <w:rFonts w:hint="eastAsia" w:ascii="仿宋_GB2312" w:hAnsi="仿宋_GB2312" w:eastAsia="仿宋_GB2312" w:cs="仿宋_GB2312"/>
          <w:color w:val="auto"/>
          <w:sz w:val="32"/>
          <w:szCs w:val="32"/>
          <w:lang w:eastAsia="zh-CN"/>
        </w:rPr>
        <w:t>。</w:t>
      </w:r>
      <w:r>
        <w:rPr>
          <w:rFonts w:hint="eastAsia" w:ascii="仿宋_GB2312" w:eastAsia="仿宋_GB2312"/>
          <w:color w:val="auto"/>
          <w:sz w:val="32"/>
          <w:szCs w:val="32"/>
        </w:rPr>
        <w:t>指导推进移动执法信息系统的使用，促进了执法检查工作规范化，进一步提升执法人员业务水平</w:t>
      </w:r>
      <w:r>
        <w:rPr>
          <w:rFonts w:hint="eastAsia" w:ascii="仿宋_GB2312"/>
          <w:color w:val="auto"/>
          <w:sz w:val="32"/>
          <w:szCs w:val="32"/>
          <w:lang w:eastAsia="zh-CN"/>
        </w:rPr>
        <w:t>。</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firstLine="632" w:firstLineChars="200"/>
        <w:textAlignment w:val="auto"/>
        <w:rPr>
          <w:rFonts w:hint="eastAsia"/>
          <w:color w:val="auto"/>
          <w:sz w:val="32"/>
          <w:szCs w:val="32"/>
          <w:lang w:val="en-US" w:eastAsia="zh-CN"/>
        </w:rPr>
      </w:pPr>
      <w:r>
        <w:rPr>
          <w:rFonts w:hint="eastAsia"/>
          <w:color w:val="auto"/>
          <w:sz w:val="32"/>
          <w:szCs w:val="32"/>
          <w:lang w:val="en-US" w:eastAsia="zh-CN"/>
        </w:rPr>
        <w:t>发挥模范作用 加强内部监督</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充分发挥模范带头作用，</w:t>
      </w:r>
      <w:r>
        <w:rPr>
          <w:rFonts w:hint="eastAsia" w:ascii="仿宋_GB2312" w:hAnsi="仿宋_GB2312" w:eastAsia="仿宋_GB2312" w:cs="仿宋_GB2312"/>
          <w:color w:val="auto"/>
          <w:sz w:val="32"/>
          <w:szCs w:val="32"/>
        </w:rPr>
        <w:t>建立健全局党</w:t>
      </w:r>
      <w:r>
        <w:rPr>
          <w:rFonts w:hint="eastAsia" w:ascii="仿宋_GB2312" w:hAnsi="仿宋_GB2312" w:cs="仿宋_GB2312"/>
          <w:color w:val="auto"/>
          <w:sz w:val="32"/>
          <w:szCs w:val="32"/>
          <w:lang w:val="en-US" w:eastAsia="zh-CN"/>
        </w:rPr>
        <w:t>委</w:t>
      </w:r>
      <w:r>
        <w:rPr>
          <w:rFonts w:hint="eastAsia" w:ascii="仿宋_GB2312" w:hAnsi="仿宋_GB2312" w:eastAsia="仿宋_GB2312" w:cs="仿宋_GB2312"/>
          <w:color w:val="auto"/>
          <w:sz w:val="32"/>
          <w:szCs w:val="32"/>
        </w:rPr>
        <w:t>中心组学法和领导干部集体学法</w:t>
      </w:r>
      <w:r>
        <w:rPr>
          <w:rFonts w:hint="eastAsia" w:ascii="仿宋_GB2312" w:hAnsi="仿宋_GB2312" w:eastAsia="仿宋_GB2312" w:cs="仿宋_GB2312"/>
          <w:color w:val="auto"/>
          <w:sz w:val="32"/>
          <w:szCs w:val="32"/>
          <w:lang w:eastAsia="zh-CN"/>
        </w:rPr>
        <w:t>制度，组织全体干部职工参加</w:t>
      </w:r>
      <w:r>
        <w:rPr>
          <w:rFonts w:hint="eastAsia" w:ascii="仿宋_GB2312" w:hAnsi="仿宋_GB2312" w:cs="仿宋_GB2312"/>
          <w:color w:val="auto"/>
          <w:sz w:val="32"/>
          <w:szCs w:val="32"/>
          <w:lang w:eastAsia="zh-CN"/>
        </w:rPr>
        <w:t>“</w:t>
      </w:r>
      <w:r>
        <w:rPr>
          <w:rFonts w:hint="eastAsia" w:ascii="仿宋_GB2312" w:hAnsi="仿宋_GB2312" w:cs="仿宋_GB2312"/>
          <w:color w:val="auto"/>
          <w:sz w:val="32"/>
          <w:szCs w:val="32"/>
          <w:lang w:val="en-US" w:eastAsia="zh-CN"/>
        </w:rPr>
        <w:t>广东</w:t>
      </w:r>
      <w:r>
        <w:rPr>
          <w:rFonts w:hint="eastAsia" w:ascii="仿宋_GB2312" w:hAnsi="仿宋_GB2312" w:eastAsia="仿宋_GB2312" w:cs="仿宋_GB2312"/>
          <w:color w:val="auto"/>
          <w:sz w:val="32"/>
          <w:szCs w:val="32"/>
          <w:lang w:eastAsia="zh-CN"/>
        </w:rPr>
        <w:t>应急管理大课堂</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lang w:eastAsia="zh-CN"/>
        </w:rPr>
        <w:t>视频培训，</w:t>
      </w:r>
      <w:r>
        <w:rPr>
          <w:rFonts w:hint="eastAsia" w:ascii="仿宋_GB2312" w:hAnsi="仿宋_GB2312" w:eastAsia="仿宋_GB2312" w:cs="仿宋_GB2312"/>
          <w:color w:val="auto"/>
          <w:sz w:val="32"/>
          <w:szCs w:val="32"/>
          <w:lang w:val="en-US" w:eastAsia="zh-CN"/>
        </w:rPr>
        <w:t>督促领导干部学法用法工作制度化、规范化，不断提高领导干部科学决策、民主决策、依法决策和依法管理的能力和水平。</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s="仿宋_GB2312"/>
          <w:color w:val="auto"/>
          <w:sz w:val="32"/>
          <w:szCs w:val="32"/>
          <w:lang w:val="en-US" w:eastAsia="zh-CN"/>
        </w:rPr>
        <w:t>完善内部层级监督，通过设立群众意见箱、举报箱收集群众意见，畅通监督举报渠道，强化日常监督检查，坚持约谈提醒抓早抓小。</w:t>
      </w:r>
      <w:r>
        <w:rPr>
          <w:rFonts w:hint="eastAsia" w:ascii="仿宋_GB2312" w:hAnsi="仿宋_GB2312" w:eastAsia="仿宋_GB2312" w:cs="仿宋_GB2312"/>
          <w:b/>
          <w:bCs/>
          <w:color w:val="auto"/>
          <w:sz w:val="32"/>
          <w:szCs w:val="32"/>
          <w:lang w:val="en-US" w:eastAsia="zh-CN"/>
        </w:rPr>
        <w:t>三是</w:t>
      </w:r>
      <w:r>
        <w:rPr>
          <w:rFonts w:hint="eastAsia" w:ascii="仿宋_GB2312" w:hAnsi="仿宋_GB2312" w:eastAsia="仿宋_GB2312" w:cs="仿宋_GB2312"/>
          <w:color w:val="auto"/>
          <w:sz w:val="32"/>
          <w:szCs w:val="32"/>
          <w:lang w:val="en-US" w:eastAsia="zh-CN"/>
        </w:rPr>
        <w:t>建立健全内部监督机制体制，通过建立健全领导、目标、监督和奖惩四个机制，夯实法治工作基础。</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leftChars="0" w:firstLine="632" w:firstLineChars="200"/>
        <w:textAlignment w:val="auto"/>
        <w:rPr>
          <w:rFonts w:hint="eastAsia" w:ascii="仿宋_GB2312" w:hAnsi="仿宋_GB2312" w:eastAsia="仿宋_GB2312" w:cs="仿宋_GB2312"/>
          <w:i w:val="0"/>
          <w:caps w:val="0"/>
          <w:color w:val="auto"/>
          <w:spacing w:val="0"/>
          <w:kern w:val="0"/>
          <w:sz w:val="32"/>
          <w:szCs w:val="32"/>
          <w:lang w:val="en-US" w:eastAsia="zh-CN" w:bidi="ar"/>
        </w:rPr>
      </w:pPr>
      <w:r>
        <w:rPr>
          <w:rFonts w:hint="eastAsia" w:ascii="仿宋_GB2312" w:hAnsi="仿宋_GB2312" w:eastAsia="仿宋_GB2312" w:cs="仿宋_GB2312"/>
          <w:i w:val="0"/>
          <w:caps w:val="0"/>
          <w:color w:val="auto"/>
          <w:spacing w:val="0"/>
          <w:kern w:val="0"/>
          <w:sz w:val="32"/>
          <w:szCs w:val="32"/>
          <w:lang w:val="en-US" w:eastAsia="zh-CN" w:bidi="ar"/>
        </w:rPr>
        <w:t xml:space="preserve">维护司法权威 </w:t>
      </w:r>
      <w:r>
        <w:rPr>
          <w:rFonts w:hint="eastAsia" w:cs="仿宋_GB2312"/>
          <w:i w:val="0"/>
          <w:caps w:val="0"/>
          <w:color w:val="auto"/>
          <w:spacing w:val="0"/>
          <w:kern w:val="0"/>
          <w:sz w:val="32"/>
          <w:szCs w:val="32"/>
          <w:lang w:val="en-US" w:eastAsia="zh-CN" w:bidi="ar"/>
        </w:rPr>
        <w:t>落实</w:t>
      </w:r>
      <w:r>
        <w:rPr>
          <w:rFonts w:hint="eastAsia" w:ascii="仿宋_GB2312" w:hAnsi="仿宋_GB2312" w:eastAsia="仿宋_GB2312" w:cs="仿宋_GB2312"/>
          <w:i w:val="0"/>
          <w:caps w:val="0"/>
          <w:color w:val="auto"/>
          <w:spacing w:val="0"/>
          <w:kern w:val="0"/>
          <w:sz w:val="32"/>
          <w:szCs w:val="32"/>
          <w:lang w:val="en-US" w:eastAsia="zh-CN" w:bidi="ar"/>
        </w:rPr>
        <w:t>各项制度</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自觉维护司法权威，</w:t>
      </w:r>
      <w:r>
        <w:rPr>
          <w:rFonts w:hint="eastAsia" w:ascii="仿宋_GB2312" w:hAnsi="仿宋_GB2312" w:eastAsia="仿宋_GB2312" w:cs="仿宋_GB2312"/>
          <w:b/>
          <w:bCs/>
          <w:color w:val="auto"/>
          <w:sz w:val="32"/>
          <w:szCs w:val="32"/>
          <w:lang w:val="en-US" w:eastAsia="zh-CN"/>
        </w:rPr>
        <w:t>一是</w:t>
      </w:r>
      <w:r>
        <w:rPr>
          <w:rFonts w:hint="eastAsia" w:ascii="仿宋_GB2312" w:hAnsi="仿宋_GB2312" w:eastAsia="仿宋_GB2312" w:cs="仿宋_GB2312"/>
          <w:color w:val="auto"/>
          <w:sz w:val="32"/>
          <w:szCs w:val="32"/>
          <w:lang w:val="en-US" w:eastAsia="zh-CN"/>
        </w:rPr>
        <w:t>严格按照《行政诉讼法》《行政复议法》等文件的规定处理行政案件</w:t>
      </w:r>
      <w:r>
        <w:rPr>
          <w:rFonts w:hint="eastAsia" w:ascii="仿宋_GB2312" w:hAnsi="仿宋_GB2312" w:cs="仿宋_GB2312"/>
          <w:color w:val="auto"/>
          <w:sz w:val="32"/>
          <w:szCs w:val="32"/>
          <w:lang w:val="en-US" w:eastAsia="zh-CN"/>
        </w:rPr>
        <w:t>。</w:t>
      </w:r>
      <w:r>
        <w:rPr>
          <w:rFonts w:hint="eastAsia" w:ascii="仿宋_GB2312" w:hAnsi="仿宋_GB2312" w:eastAsia="仿宋_GB2312" w:cs="仿宋_GB2312"/>
          <w:b/>
          <w:bCs/>
          <w:color w:val="auto"/>
          <w:sz w:val="32"/>
          <w:szCs w:val="32"/>
          <w:lang w:val="en-US" w:eastAsia="zh-CN"/>
        </w:rPr>
        <w:t>二是</w:t>
      </w:r>
      <w:r>
        <w:rPr>
          <w:rFonts w:hint="eastAsia" w:ascii="仿宋_GB2312" w:hAnsi="仿宋_GB2312" w:eastAsia="仿宋_GB2312" w:cs="仿宋_GB2312"/>
          <w:color w:val="auto"/>
          <w:sz w:val="32"/>
          <w:szCs w:val="32"/>
          <w:lang w:val="en-US" w:eastAsia="zh-CN"/>
        </w:rPr>
        <w:t>认真落实行政机关出庭应诉、支持法院受理行政案件、尊重并执行法院生效裁判。202</w:t>
      </w:r>
      <w:r>
        <w:rPr>
          <w:rFonts w:hint="eastAsia" w:ascii="仿宋_GB2312" w:hAnsi="仿宋_GB2312" w:cs="仿宋_GB2312"/>
          <w:color w:val="auto"/>
          <w:sz w:val="32"/>
          <w:szCs w:val="32"/>
          <w:lang w:val="en-US" w:eastAsia="zh-CN"/>
        </w:rPr>
        <w:t>1</w:t>
      </w:r>
      <w:r>
        <w:rPr>
          <w:rFonts w:hint="eastAsia" w:ascii="仿宋_GB2312" w:hAnsi="仿宋_GB2312" w:eastAsia="仿宋_GB2312" w:cs="仿宋_GB2312"/>
          <w:color w:val="auto"/>
          <w:sz w:val="32"/>
          <w:szCs w:val="32"/>
          <w:lang w:val="en-US" w:eastAsia="zh-CN"/>
        </w:rPr>
        <w:t>年</w:t>
      </w:r>
      <w:r>
        <w:rPr>
          <w:rFonts w:hint="eastAsia" w:ascii="仿宋_GB2312" w:hAnsi="仿宋_GB2312" w:cs="仿宋_GB2312"/>
          <w:color w:val="auto"/>
          <w:sz w:val="32"/>
          <w:szCs w:val="32"/>
          <w:lang w:val="en-US" w:eastAsia="zh-CN"/>
        </w:rPr>
        <w:t>县应急管理局</w:t>
      </w:r>
      <w:r>
        <w:rPr>
          <w:rFonts w:hint="eastAsia" w:ascii="仿宋_GB2312" w:hAnsi="仿宋_GB2312" w:eastAsia="仿宋_GB2312" w:cs="仿宋_GB2312"/>
          <w:color w:val="auto"/>
          <w:sz w:val="32"/>
          <w:szCs w:val="32"/>
          <w:lang w:val="en-US" w:eastAsia="zh-CN"/>
        </w:rPr>
        <w:t>未收到行政案件，未出现过不出庭应诉、不执行法院生效裁判等不尊重司法权威的情况。</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leftChars="0" w:firstLine="632" w:firstLineChars="200"/>
        <w:textAlignment w:val="auto"/>
        <w:rPr>
          <w:rFonts w:hint="eastAsia" w:cs="仿宋_GB2312"/>
          <w:color w:val="auto"/>
          <w:sz w:val="32"/>
          <w:szCs w:val="32"/>
          <w:lang w:val="en-US" w:eastAsia="zh-CN"/>
        </w:rPr>
      </w:pPr>
      <w:r>
        <w:rPr>
          <w:rFonts w:hint="eastAsia" w:cs="仿宋_GB2312"/>
          <w:color w:val="auto"/>
          <w:sz w:val="32"/>
          <w:szCs w:val="32"/>
          <w:lang w:val="en-US" w:eastAsia="zh-CN"/>
        </w:rPr>
        <w:t>加强普法宣传 提高法治意识</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textAlignment w:val="auto"/>
        <w:rPr>
          <w:rFonts w:hint="eastAsia" w:ascii="仿宋_GB2312" w:eastAsia="仿宋_GB2312"/>
          <w:sz w:val="32"/>
          <w:szCs w:val="32"/>
        </w:rPr>
      </w:pP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一是</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加强安全生产典型案例报送。</w:t>
      </w:r>
      <w:r>
        <w:rPr>
          <w:rFonts w:hint="eastAsia" w:ascii="仿宋_GB2312"/>
          <w:color w:val="000000" w:themeColor="text1"/>
          <w:sz w:val="32"/>
          <w:szCs w:val="32"/>
          <w:lang w:val="en-US" w:eastAsia="zh-CN"/>
          <w14:textFill>
            <w14:solidFill>
              <w14:schemeClr w14:val="tx1"/>
            </w14:solidFill>
          </w14:textFill>
        </w:rPr>
        <w:t>根据</w:t>
      </w:r>
      <w:r>
        <w:rPr>
          <w:rFonts w:hint="eastAsia" w:ascii="仿宋_GB2312" w:eastAsia="仿宋_GB2312"/>
          <w:color w:val="000000" w:themeColor="text1"/>
          <w:sz w:val="32"/>
          <w:szCs w:val="32"/>
          <w:lang w:val="en-US" w:eastAsia="zh-CN"/>
          <w14:textFill>
            <w14:solidFill>
              <w14:schemeClr w14:val="tx1"/>
            </w14:solidFill>
          </w14:textFill>
        </w:rPr>
        <w:t>应急管理部部署</w:t>
      </w:r>
      <w:r>
        <w:rPr>
          <w:rFonts w:hint="eastAsia" w:ascii="仿宋_GB2312"/>
          <w:color w:val="000000" w:themeColor="text1"/>
          <w:sz w:val="32"/>
          <w:szCs w:val="32"/>
          <w:lang w:val="en-US" w:eastAsia="zh-CN"/>
          <w14:textFill>
            <w14:solidFill>
              <w14:schemeClr w14:val="tx1"/>
            </w14:solidFill>
          </w14:textFill>
        </w:rPr>
        <w:t>报送</w:t>
      </w:r>
      <w:r>
        <w:rPr>
          <w:rFonts w:hint="eastAsia" w:ascii="仿宋_GB2312" w:eastAsia="仿宋_GB2312"/>
          <w:color w:val="000000" w:themeColor="text1"/>
          <w:sz w:val="32"/>
          <w:szCs w:val="32"/>
          <w:lang w:val="en-US" w:eastAsia="zh-CN"/>
          <w14:textFill>
            <w14:solidFill>
              <w14:schemeClr w14:val="tx1"/>
            </w14:solidFill>
          </w14:textFill>
        </w:rPr>
        <w:t>典型案例工作要求，</w:t>
      </w:r>
      <w:r>
        <w:rPr>
          <w:rFonts w:hint="eastAsia" w:ascii="仿宋_GB2312"/>
          <w:color w:val="000000" w:themeColor="text1"/>
          <w:sz w:val="32"/>
          <w:szCs w:val="32"/>
          <w:lang w:val="en-US" w:eastAsia="zh-CN"/>
          <w14:textFill>
            <w14:solidFill>
              <w14:schemeClr w14:val="tx1"/>
            </w14:solidFill>
          </w14:textFill>
        </w:rPr>
        <w:t>2021年县应急管理局共</w:t>
      </w:r>
      <w:r>
        <w:rPr>
          <w:rFonts w:hint="eastAsia" w:ascii="仿宋_GB2312" w:eastAsia="仿宋_GB2312"/>
          <w:color w:val="000000" w:themeColor="text1"/>
          <w:sz w:val="32"/>
          <w:szCs w:val="32"/>
          <w:lang w:val="en-US" w:eastAsia="zh-CN"/>
          <w14:textFill>
            <w14:solidFill>
              <w14:schemeClr w14:val="tx1"/>
            </w14:solidFill>
          </w14:textFill>
        </w:rPr>
        <w:t>报送</w:t>
      </w:r>
      <w:r>
        <w:rPr>
          <w:rFonts w:hint="eastAsia" w:ascii="仿宋_GB2312"/>
          <w:color w:val="000000" w:themeColor="text1"/>
          <w:sz w:val="32"/>
          <w:szCs w:val="32"/>
          <w:lang w:val="en-US" w:eastAsia="zh-CN"/>
          <w14:textFill>
            <w14:solidFill>
              <w14:schemeClr w14:val="tx1"/>
            </w14:solidFill>
          </w14:textFill>
        </w:rPr>
        <w:t>安全生产</w:t>
      </w:r>
      <w:r>
        <w:rPr>
          <w:rFonts w:hint="eastAsia" w:ascii="仿宋_GB2312" w:eastAsia="仿宋_GB2312"/>
          <w:color w:val="000000" w:themeColor="text1"/>
          <w:sz w:val="32"/>
          <w:szCs w:val="32"/>
          <w:lang w:val="en-US" w:eastAsia="zh-CN"/>
          <w14:textFill>
            <w14:solidFill>
              <w14:schemeClr w14:val="tx1"/>
            </w14:solidFill>
          </w14:textFill>
        </w:rPr>
        <w:t>案例8宗，上报率</w:t>
      </w:r>
      <w:r>
        <w:rPr>
          <w:rFonts w:hint="eastAsia" w:ascii="仿宋_GB2312"/>
          <w:color w:val="000000" w:themeColor="text1"/>
          <w:sz w:val="32"/>
          <w:szCs w:val="32"/>
          <w:lang w:val="en-US" w:eastAsia="zh-CN"/>
          <w14:textFill>
            <w14:solidFill>
              <w14:schemeClr w14:val="tx1"/>
            </w14:solidFill>
          </w14:textFill>
        </w:rPr>
        <w:t>达</w:t>
      </w:r>
      <w:r>
        <w:rPr>
          <w:rFonts w:hint="eastAsia" w:ascii="仿宋_GB2312" w:eastAsia="仿宋_GB2312"/>
          <w:color w:val="000000" w:themeColor="text1"/>
          <w:sz w:val="32"/>
          <w:szCs w:val="32"/>
          <w:lang w:val="en-US" w:eastAsia="zh-CN"/>
          <w14:textFill>
            <w14:solidFill>
              <w14:schemeClr w14:val="tx1"/>
            </w14:solidFill>
          </w14:textFill>
        </w:rPr>
        <w:t>133%</w:t>
      </w:r>
      <w:r>
        <w:rPr>
          <w:rFonts w:hint="eastAsia" w:ascii="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sz w:val="32"/>
          <w:szCs w:val="32"/>
          <w:lang w:val="en-US" w:eastAsia="zh-CN"/>
        </w:rPr>
        <w:t>超额完成应急管理部要求，</w:t>
      </w:r>
      <w:r>
        <w:rPr>
          <w:rFonts w:hint="eastAsia" w:ascii="仿宋_GB2312" w:eastAsia="仿宋_GB2312"/>
          <w:color w:val="000000" w:themeColor="text1"/>
          <w:sz w:val="32"/>
          <w:szCs w:val="32"/>
          <w:lang w:val="en-US" w:eastAsia="zh-CN"/>
          <w14:textFill>
            <w14:solidFill>
              <w14:schemeClr w14:val="tx1"/>
            </w14:solidFill>
          </w14:textFill>
        </w:rPr>
        <w:t>对我县其他企业形成震慑</w:t>
      </w:r>
      <w:r>
        <w:rPr>
          <w:rFonts w:hint="eastAsia" w:ascii="仿宋_GB2312" w:hAnsi="仿宋_GB2312" w:eastAsia="仿宋_GB2312" w:cs="仿宋_GB2312"/>
          <w:color w:val="000000"/>
          <w:sz w:val="32"/>
          <w:szCs w:val="32"/>
          <w:lang w:val="en-US" w:eastAsia="zh-CN"/>
        </w:rPr>
        <w:t>。</w:t>
      </w:r>
      <w:r>
        <w:rPr>
          <w:rFonts w:hint="eastAsia"/>
          <w:b/>
          <w:sz w:val="32"/>
          <w:szCs w:val="32"/>
          <w:lang w:val="en-US" w:eastAsia="zh-CN"/>
        </w:rPr>
        <w:t>二</w:t>
      </w:r>
      <w:r>
        <w:rPr>
          <w:rFonts w:hint="eastAsia" w:ascii="仿宋_GB2312" w:eastAsia="仿宋_GB2312"/>
          <w:b/>
          <w:sz w:val="32"/>
          <w:szCs w:val="32"/>
        </w:rPr>
        <w:t>是</w:t>
      </w:r>
      <w:r>
        <w:rPr>
          <w:rFonts w:hint="eastAsia" w:ascii="仿宋_GB2312" w:eastAsia="仿宋_GB2312"/>
          <w:sz w:val="32"/>
          <w:szCs w:val="32"/>
        </w:rPr>
        <w:t>印制“四令三制”“一线三排”等内容的宣传海报，分发给各危险化学品企业张贴宣传。此外，在化工园区悬挂关于安全生产内容的标语和横幅。</w:t>
      </w:r>
      <w:r>
        <w:rPr>
          <w:rFonts w:hint="eastAsia"/>
          <w:b/>
          <w:sz w:val="32"/>
          <w:szCs w:val="32"/>
          <w:lang w:val="en-US" w:eastAsia="zh-CN"/>
        </w:rPr>
        <w:t>三</w:t>
      </w:r>
      <w:r>
        <w:rPr>
          <w:rFonts w:hint="eastAsia" w:ascii="仿宋_GB2312" w:eastAsia="仿宋_GB2312"/>
          <w:b/>
          <w:sz w:val="32"/>
          <w:szCs w:val="32"/>
        </w:rPr>
        <w:t>是</w:t>
      </w:r>
      <w:r>
        <w:rPr>
          <w:rFonts w:hint="eastAsia" w:ascii="仿宋_GB2312" w:eastAsia="仿宋_GB2312"/>
          <w:color w:val="auto"/>
          <w:sz w:val="32"/>
          <w:szCs w:val="32"/>
          <w:lang w:val="en-US" w:eastAsia="zh-CN"/>
        </w:rPr>
        <w:t>积极开展“5.12”</w:t>
      </w:r>
      <w:r>
        <w:rPr>
          <w:rFonts w:hint="eastAsia" w:ascii="仿宋_GB2312" w:hAnsi="仿宋_GB2312" w:eastAsia="仿宋_GB2312" w:cs="仿宋_GB2312"/>
          <w:color w:val="auto"/>
          <w:sz w:val="32"/>
          <w:szCs w:val="32"/>
        </w:rPr>
        <w:t>防灾减灾日</w:t>
      </w:r>
      <w:r>
        <w:rPr>
          <w:rFonts w:hint="eastAsia" w:ascii="仿宋_GB2312" w:hAnsi="仿宋_GB2312" w:eastAsia="仿宋_GB2312" w:cs="仿宋_GB2312"/>
          <w:color w:val="auto"/>
          <w:sz w:val="32"/>
          <w:szCs w:val="32"/>
          <w:lang w:eastAsia="zh-CN"/>
        </w:rPr>
        <w:t>、</w:t>
      </w:r>
      <w:r>
        <w:rPr>
          <w:rFonts w:hint="eastAsia" w:ascii="仿宋_GB2312" w:eastAsia="仿宋_GB2312"/>
          <w:color w:val="auto"/>
          <w:sz w:val="32"/>
          <w:szCs w:val="32"/>
          <w:lang w:eastAsia="zh-CN"/>
        </w:rPr>
        <w:t>“</w:t>
      </w:r>
      <w:r>
        <w:rPr>
          <w:rFonts w:hint="eastAsia" w:ascii="仿宋_GB2312" w:eastAsia="仿宋_GB2312"/>
          <w:color w:val="auto"/>
          <w:sz w:val="32"/>
          <w:szCs w:val="32"/>
          <w:lang w:val="en-US" w:eastAsia="zh-CN"/>
        </w:rPr>
        <w:t>6.16</w:t>
      </w:r>
      <w:r>
        <w:rPr>
          <w:rFonts w:hint="eastAsia" w:ascii="仿宋_GB2312" w:eastAsia="仿宋_GB2312"/>
          <w:color w:val="auto"/>
          <w:sz w:val="32"/>
          <w:szCs w:val="32"/>
          <w:lang w:eastAsia="zh-CN"/>
        </w:rPr>
        <w:t>”</w:t>
      </w:r>
      <w:r>
        <w:rPr>
          <w:rFonts w:hint="eastAsia" w:ascii="仿宋_GB2312" w:eastAsia="仿宋_GB2312"/>
          <w:color w:val="auto"/>
          <w:sz w:val="32"/>
          <w:szCs w:val="32"/>
        </w:rPr>
        <w:t>安全生产宣传咨询日活动</w:t>
      </w:r>
      <w:r>
        <w:rPr>
          <w:rFonts w:hint="eastAsia"/>
          <w:color w:val="auto"/>
          <w:sz w:val="32"/>
          <w:szCs w:val="32"/>
          <w:lang w:eastAsia="zh-CN"/>
        </w:rPr>
        <w:t>。</w:t>
      </w:r>
      <w:r>
        <w:rPr>
          <w:rFonts w:hint="eastAsia"/>
          <w:color w:val="auto"/>
          <w:sz w:val="32"/>
          <w:szCs w:val="32"/>
          <w:lang w:val="en-US" w:eastAsia="zh-CN"/>
        </w:rPr>
        <w:t>联合各职能部门</w:t>
      </w:r>
      <w:r>
        <w:rPr>
          <w:rFonts w:hint="eastAsia" w:ascii="仿宋_GB2312" w:hAnsi="仿宋_GB2312" w:eastAsia="仿宋_GB2312" w:cs="仿宋_GB2312"/>
          <w:b w:val="0"/>
          <w:bCs w:val="0"/>
          <w:i w:val="0"/>
          <w:iCs w:val="0"/>
          <w:caps w:val="0"/>
          <w:color w:val="auto"/>
          <w:spacing w:val="8"/>
          <w:sz w:val="32"/>
          <w:szCs w:val="32"/>
          <w:shd w:val="clear" w:fill="FFFFFF"/>
        </w:rPr>
        <w:t>“线上+线下”多形式多领域开展防灾减灾</w:t>
      </w:r>
      <w:r>
        <w:rPr>
          <w:rFonts w:hint="eastAsia" w:cs="仿宋_GB2312"/>
          <w:b w:val="0"/>
          <w:bCs w:val="0"/>
          <w:i w:val="0"/>
          <w:iCs w:val="0"/>
          <w:caps w:val="0"/>
          <w:color w:val="auto"/>
          <w:spacing w:val="8"/>
          <w:sz w:val="32"/>
          <w:szCs w:val="32"/>
          <w:shd w:val="clear" w:fill="FFFFFF"/>
          <w:lang w:val="en-US" w:eastAsia="zh-CN"/>
        </w:rPr>
        <w:t>及安全生产普法宣传，</w:t>
      </w:r>
      <w:r>
        <w:rPr>
          <w:rFonts w:hint="eastAsia" w:ascii="仿宋_GB2312" w:eastAsia="仿宋_GB2312"/>
          <w:sz w:val="32"/>
          <w:szCs w:val="32"/>
        </w:rPr>
        <w:t>营造人人关注安全的良好氛围，有效提升群众安全意识，取得良好的宣传效果。</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jc w:val="both"/>
        <w:textAlignment w:val="auto"/>
        <w:rPr>
          <w:rFonts w:hint="eastAsia"/>
          <w:sz w:val="32"/>
          <w:szCs w:val="32"/>
          <w:lang w:val="en-US" w:eastAsia="zh-CN"/>
        </w:rPr>
      </w:pPr>
      <w:r>
        <w:rPr>
          <w:rFonts w:hint="eastAsia"/>
          <w:sz w:val="32"/>
          <w:szCs w:val="32"/>
          <w:lang w:val="en-US" w:eastAsia="zh-CN"/>
        </w:rPr>
        <w:t xml:space="preserve">                                  </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158" w:leftChars="-50" w:firstLine="5372" w:firstLineChars="1700"/>
        <w:jc w:val="both"/>
        <w:textAlignment w:val="auto"/>
        <w:rPr>
          <w:rFonts w:hint="eastAsia"/>
          <w:sz w:val="32"/>
          <w:szCs w:val="32"/>
          <w:lang w:val="en-US" w:eastAsia="zh-CN"/>
        </w:rPr>
      </w:pPr>
      <w:r>
        <w:rPr>
          <w:rFonts w:hint="eastAsia"/>
          <w:sz w:val="32"/>
          <w:szCs w:val="32"/>
          <w:lang w:val="en-US" w:eastAsia="zh-CN"/>
        </w:rPr>
        <w:t xml:space="preserve"> 翁源县应急管理局</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r>
        <w:rPr>
          <w:rFonts w:hint="eastAsia"/>
          <w:sz w:val="32"/>
          <w:szCs w:val="32"/>
          <w:lang w:val="en-US" w:eastAsia="zh-CN"/>
        </w:rPr>
        <w:t xml:space="preserve">                         2021年12月21日</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632" w:firstLineChars="200"/>
        <w:jc w:val="center"/>
        <w:textAlignment w:val="auto"/>
        <w:rPr>
          <w:rFonts w:hint="eastAsia"/>
          <w:sz w:val="32"/>
          <w:szCs w:val="32"/>
          <w:lang w:val="en-US"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jc w:val="both"/>
        <w:textAlignment w:val="auto"/>
        <w:rPr>
          <w:rFonts w:hint="default"/>
          <w:sz w:val="32"/>
          <w:szCs w:val="32"/>
          <w:lang w:val="en-US" w:eastAsia="zh-CN"/>
        </w:rPr>
      </w:pPr>
    </w:p>
    <w:sectPr>
      <w:footerReference r:id="rId3" w:type="default"/>
      <w:footerReference r:id="rId4" w:type="even"/>
      <w:pgSz w:w="11906" w:h="16838"/>
      <w:pgMar w:top="2098" w:right="1474" w:bottom="1984" w:left="1587" w:header="851" w:footer="1417" w:gutter="0"/>
      <w:pgBorders>
        <w:top w:val="none" w:sz="0" w:space="0"/>
        <w:left w:val="none" w:sz="0" w:space="0"/>
        <w:bottom w:val="none" w:sz="0" w:space="0"/>
        <w:right w:val="none" w:sz="0" w:space="0"/>
      </w:pgBorders>
      <w:pgNumType w:fmt="decimal"/>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altName w:val="方正楷体_GBK"/>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posOffset>4807585</wp:posOffset>
              </wp:positionH>
              <wp:positionV relativeFrom="paragraph">
                <wp:posOffset>0</wp:posOffset>
              </wp:positionV>
              <wp:extent cx="80899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80899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lang w:val="en-US" w:eastAsia="zh-CN"/>
                            </w:rPr>
                            <w:t xml:space="preserve"> </w:t>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378.55pt;margin-top:0pt;height:144pt;width:63.7pt;mso-position-horizontal-relative:margin;z-index:251659264;mso-width-relative:page;mso-height-relative:page;" filled="f" stroked="f" coordsize="21600,21600" o:gfxdata="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AcBrSf1gAAAAgBAAAPAAAAAAAAAAEAIAAAADgAAABkcnMvZG93bnJldi54bWxQ&#10;SwECFAAUAAAACACHTuJAM3XG0RwCAAAUBAAADgAAAAAAAAABACAAAAA7AQAAZHJzL2Uyb0RvYy54&#10;bWxQSwUGAAAAAAYABgBZAQAAyQ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lang w:val="en-US"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posOffset>0</wp:posOffset>
              </wp:positionH>
              <wp:positionV relativeFrom="paragraph">
                <wp:posOffset>0</wp:posOffset>
              </wp:positionV>
              <wp:extent cx="1136650" cy="236855"/>
              <wp:effectExtent l="0" t="0" r="0" b="0"/>
              <wp:wrapNone/>
              <wp:docPr id="5" name="文本框 5"/>
              <wp:cNvGraphicFramePr/>
              <a:graphic xmlns:a="http://schemas.openxmlformats.org/drawingml/2006/main">
                <a:graphicData uri="http://schemas.microsoft.com/office/word/2010/wordprocessingShape">
                  <wps:wsp>
                    <wps:cNvSpPr txBox="1"/>
                    <wps:spPr>
                      <a:xfrm>
                        <a:off x="0" y="0"/>
                        <a:ext cx="1136650" cy="236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ind w:firstLine="280" w:firstLineChars="1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0pt;margin-top:0pt;height:18.65pt;width:89.5pt;mso-position-horizontal-relative:margin;z-index:251660288;mso-width-relative:page;mso-height-relative:page;" filled="f" stroked="f" coordsize="21600,21600" o:gfxdata="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LHzfndMAAAAEAQAADwAAAAAAAAABACAAAAA4AAAAZHJzL2Rvd25yZXYueG1sUEsBAhQAFAAA&#10;AAgAh07iQKGDuG8XAgAAFAQAAA4AAAAAAAAAAQAgAAAAOAEAAGRycy9lMm9Eb2MueG1sUEsFBgAA&#10;AAAGAAYAWQEAAMEFAAAAAA==&#10;">
              <v:fill on="f" focussize="0,0"/>
              <v:stroke on="f" weight="0.5pt"/>
              <v:imagedata o:title=""/>
              <o:lock v:ext="edit" aspectratio="f"/>
              <v:textbox inset="0mm,0mm,0mm,0mm">
                <w:txbxContent>
                  <w:p>
                    <w:pPr>
                      <w:pStyle w:val="4"/>
                      <w:ind w:firstLine="280" w:firstLineChars="1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7F22C8"/>
    <w:multiLevelType w:val="singleLevel"/>
    <w:tmpl w:val="CD7F22C8"/>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evenAndOddHeaders w:val="1"/>
  <w:drawingGridHorizontalSpacing w:val="158"/>
  <w:drawingGridVerticalSpacing w:val="290"/>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xMzJjYzM3ODAzNzM2MjMxM2NlYThhM2JlODhjOTUifQ=="/>
  </w:docVars>
  <w:rsids>
    <w:rsidRoot w:val="00000000"/>
    <w:rsid w:val="000A002F"/>
    <w:rsid w:val="001F3ADA"/>
    <w:rsid w:val="002E01C1"/>
    <w:rsid w:val="004C0647"/>
    <w:rsid w:val="00627E6B"/>
    <w:rsid w:val="008322BB"/>
    <w:rsid w:val="00881383"/>
    <w:rsid w:val="009224FE"/>
    <w:rsid w:val="00AE0604"/>
    <w:rsid w:val="00BF52BD"/>
    <w:rsid w:val="00FF56BA"/>
    <w:rsid w:val="01203FAE"/>
    <w:rsid w:val="014852B3"/>
    <w:rsid w:val="019329D2"/>
    <w:rsid w:val="01934780"/>
    <w:rsid w:val="01AE75EA"/>
    <w:rsid w:val="01C60288"/>
    <w:rsid w:val="01CC7C92"/>
    <w:rsid w:val="01E27A17"/>
    <w:rsid w:val="01E83A82"/>
    <w:rsid w:val="02370438"/>
    <w:rsid w:val="02727ED8"/>
    <w:rsid w:val="02F73DEE"/>
    <w:rsid w:val="031B2C7F"/>
    <w:rsid w:val="03215DBB"/>
    <w:rsid w:val="03515DC8"/>
    <w:rsid w:val="03960557"/>
    <w:rsid w:val="03B46C2F"/>
    <w:rsid w:val="03E77005"/>
    <w:rsid w:val="03FB42BA"/>
    <w:rsid w:val="04161698"/>
    <w:rsid w:val="041B280B"/>
    <w:rsid w:val="04362E55"/>
    <w:rsid w:val="04561A95"/>
    <w:rsid w:val="046F3231"/>
    <w:rsid w:val="04731D7D"/>
    <w:rsid w:val="047563BF"/>
    <w:rsid w:val="05051A04"/>
    <w:rsid w:val="052D305E"/>
    <w:rsid w:val="053C6EDC"/>
    <w:rsid w:val="05577864"/>
    <w:rsid w:val="05616943"/>
    <w:rsid w:val="05A96DF8"/>
    <w:rsid w:val="05AB5E10"/>
    <w:rsid w:val="05B55C2C"/>
    <w:rsid w:val="05F9301F"/>
    <w:rsid w:val="063876A4"/>
    <w:rsid w:val="06477DDE"/>
    <w:rsid w:val="064F49ED"/>
    <w:rsid w:val="06852547"/>
    <w:rsid w:val="068D6F85"/>
    <w:rsid w:val="06FC2DC7"/>
    <w:rsid w:val="06FE7F2C"/>
    <w:rsid w:val="07073453"/>
    <w:rsid w:val="072660EF"/>
    <w:rsid w:val="077C753B"/>
    <w:rsid w:val="07BC60B3"/>
    <w:rsid w:val="07E92610"/>
    <w:rsid w:val="085E4B71"/>
    <w:rsid w:val="087E15BA"/>
    <w:rsid w:val="08AA0601"/>
    <w:rsid w:val="08CB2A51"/>
    <w:rsid w:val="09475E50"/>
    <w:rsid w:val="096C52FA"/>
    <w:rsid w:val="09B039F5"/>
    <w:rsid w:val="09DE67B4"/>
    <w:rsid w:val="09E10052"/>
    <w:rsid w:val="0A3665F0"/>
    <w:rsid w:val="0A815EC3"/>
    <w:rsid w:val="0AA0550E"/>
    <w:rsid w:val="0ACA0AE6"/>
    <w:rsid w:val="0AE55920"/>
    <w:rsid w:val="0AE75B3C"/>
    <w:rsid w:val="0B1F52D6"/>
    <w:rsid w:val="0B266665"/>
    <w:rsid w:val="0B5F1B77"/>
    <w:rsid w:val="0B6947A3"/>
    <w:rsid w:val="0BBC2B25"/>
    <w:rsid w:val="0C3152C1"/>
    <w:rsid w:val="0C332F42"/>
    <w:rsid w:val="0C4072B2"/>
    <w:rsid w:val="0C4548C9"/>
    <w:rsid w:val="0C5E67B3"/>
    <w:rsid w:val="0C632FA1"/>
    <w:rsid w:val="0CAE0F5E"/>
    <w:rsid w:val="0CAF268A"/>
    <w:rsid w:val="0CBE28CD"/>
    <w:rsid w:val="0CCE0D62"/>
    <w:rsid w:val="0CD65E68"/>
    <w:rsid w:val="0CE9794A"/>
    <w:rsid w:val="0D246BD4"/>
    <w:rsid w:val="0D3D5EE8"/>
    <w:rsid w:val="0D662D48"/>
    <w:rsid w:val="0D735465"/>
    <w:rsid w:val="0DB717F6"/>
    <w:rsid w:val="0E4F4C06"/>
    <w:rsid w:val="0E925DBF"/>
    <w:rsid w:val="0EB126E9"/>
    <w:rsid w:val="0EB24EB7"/>
    <w:rsid w:val="0F1D38DB"/>
    <w:rsid w:val="0F7C2CF7"/>
    <w:rsid w:val="0FEE34C9"/>
    <w:rsid w:val="102962AF"/>
    <w:rsid w:val="103F7CA7"/>
    <w:rsid w:val="104A4BA3"/>
    <w:rsid w:val="10572E1C"/>
    <w:rsid w:val="10645539"/>
    <w:rsid w:val="107C3988"/>
    <w:rsid w:val="108C6F6A"/>
    <w:rsid w:val="110411F6"/>
    <w:rsid w:val="112A22DF"/>
    <w:rsid w:val="113C0C99"/>
    <w:rsid w:val="1196605D"/>
    <w:rsid w:val="122246AB"/>
    <w:rsid w:val="12331667"/>
    <w:rsid w:val="12435D4E"/>
    <w:rsid w:val="1255782F"/>
    <w:rsid w:val="12597320"/>
    <w:rsid w:val="1275424D"/>
    <w:rsid w:val="127E28E2"/>
    <w:rsid w:val="1288550F"/>
    <w:rsid w:val="12CD1ABC"/>
    <w:rsid w:val="12EF1A32"/>
    <w:rsid w:val="12F26E2C"/>
    <w:rsid w:val="133B693D"/>
    <w:rsid w:val="13852398"/>
    <w:rsid w:val="138A0BB7"/>
    <w:rsid w:val="13C7650B"/>
    <w:rsid w:val="13E7095B"/>
    <w:rsid w:val="13FC4407"/>
    <w:rsid w:val="143F2545"/>
    <w:rsid w:val="148B7538"/>
    <w:rsid w:val="14D507B4"/>
    <w:rsid w:val="14E07884"/>
    <w:rsid w:val="155951B1"/>
    <w:rsid w:val="156E7876"/>
    <w:rsid w:val="157E0E4B"/>
    <w:rsid w:val="158C1F5E"/>
    <w:rsid w:val="15C727F2"/>
    <w:rsid w:val="15DB629E"/>
    <w:rsid w:val="1666025D"/>
    <w:rsid w:val="16774218"/>
    <w:rsid w:val="16777D74"/>
    <w:rsid w:val="16F45869"/>
    <w:rsid w:val="171B2300"/>
    <w:rsid w:val="17254BB9"/>
    <w:rsid w:val="17354AD5"/>
    <w:rsid w:val="17552345"/>
    <w:rsid w:val="178C44A0"/>
    <w:rsid w:val="17A0779F"/>
    <w:rsid w:val="17A91B8A"/>
    <w:rsid w:val="17AF353E"/>
    <w:rsid w:val="18407B66"/>
    <w:rsid w:val="189664AC"/>
    <w:rsid w:val="18D92F68"/>
    <w:rsid w:val="18E13BCB"/>
    <w:rsid w:val="191E6BCD"/>
    <w:rsid w:val="196C5B8A"/>
    <w:rsid w:val="198C7FDB"/>
    <w:rsid w:val="19D159ED"/>
    <w:rsid w:val="19F80885"/>
    <w:rsid w:val="1A89276C"/>
    <w:rsid w:val="1AA66E7A"/>
    <w:rsid w:val="1ABC48F0"/>
    <w:rsid w:val="1AE7638C"/>
    <w:rsid w:val="1B100797"/>
    <w:rsid w:val="1B2B3823"/>
    <w:rsid w:val="1B636B19"/>
    <w:rsid w:val="1BFD0D1C"/>
    <w:rsid w:val="1C721B80"/>
    <w:rsid w:val="1C730FDE"/>
    <w:rsid w:val="1C766D20"/>
    <w:rsid w:val="1CBA4E5F"/>
    <w:rsid w:val="1CBF5FD1"/>
    <w:rsid w:val="1D7E7C3A"/>
    <w:rsid w:val="1DC13FCB"/>
    <w:rsid w:val="1DE86925"/>
    <w:rsid w:val="1E14059F"/>
    <w:rsid w:val="1E206F43"/>
    <w:rsid w:val="1E2210EC"/>
    <w:rsid w:val="1E543091"/>
    <w:rsid w:val="1E852668"/>
    <w:rsid w:val="1E933BB9"/>
    <w:rsid w:val="1F6309B2"/>
    <w:rsid w:val="1F8654CC"/>
    <w:rsid w:val="200C2FED"/>
    <w:rsid w:val="200C59D1"/>
    <w:rsid w:val="204C14F0"/>
    <w:rsid w:val="204C7233"/>
    <w:rsid w:val="20790B8D"/>
    <w:rsid w:val="20970180"/>
    <w:rsid w:val="211A2370"/>
    <w:rsid w:val="218912A4"/>
    <w:rsid w:val="21BB449B"/>
    <w:rsid w:val="21EF4752"/>
    <w:rsid w:val="22A04AF7"/>
    <w:rsid w:val="231921B3"/>
    <w:rsid w:val="234C07DB"/>
    <w:rsid w:val="23571659"/>
    <w:rsid w:val="2369313B"/>
    <w:rsid w:val="23A61E5A"/>
    <w:rsid w:val="23BA3996"/>
    <w:rsid w:val="23CD191B"/>
    <w:rsid w:val="23E94EFA"/>
    <w:rsid w:val="24253506"/>
    <w:rsid w:val="24A13732"/>
    <w:rsid w:val="24B77ED6"/>
    <w:rsid w:val="24CE594B"/>
    <w:rsid w:val="24D64800"/>
    <w:rsid w:val="24F44C86"/>
    <w:rsid w:val="25034EC9"/>
    <w:rsid w:val="256E4A38"/>
    <w:rsid w:val="259F4BF2"/>
    <w:rsid w:val="25C24D84"/>
    <w:rsid w:val="25E77A72"/>
    <w:rsid w:val="25F807A6"/>
    <w:rsid w:val="26233A75"/>
    <w:rsid w:val="26AD333E"/>
    <w:rsid w:val="26B06716"/>
    <w:rsid w:val="26BD6A9C"/>
    <w:rsid w:val="26E7603D"/>
    <w:rsid w:val="26FD2518"/>
    <w:rsid w:val="270126AA"/>
    <w:rsid w:val="27554102"/>
    <w:rsid w:val="277327DA"/>
    <w:rsid w:val="278861C2"/>
    <w:rsid w:val="278F0C96"/>
    <w:rsid w:val="27B5694E"/>
    <w:rsid w:val="28235FAE"/>
    <w:rsid w:val="282615FA"/>
    <w:rsid w:val="284321AC"/>
    <w:rsid w:val="29565F0F"/>
    <w:rsid w:val="298E7457"/>
    <w:rsid w:val="2A0061A4"/>
    <w:rsid w:val="2A047719"/>
    <w:rsid w:val="2A0B0AA8"/>
    <w:rsid w:val="2A3049B2"/>
    <w:rsid w:val="2A475858"/>
    <w:rsid w:val="2A4B17EC"/>
    <w:rsid w:val="2A57134C"/>
    <w:rsid w:val="2A877F95"/>
    <w:rsid w:val="2A8B7E3A"/>
    <w:rsid w:val="2AA902C1"/>
    <w:rsid w:val="2AB63109"/>
    <w:rsid w:val="2AD11B0A"/>
    <w:rsid w:val="2B667F60"/>
    <w:rsid w:val="2B8B4429"/>
    <w:rsid w:val="2B986607"/>
    <w:rsid w:val="2BB67139"/>
    <w:rsid w:val="2BB84C5F"/>
    <w:rsid w:val="2BB92785"/>
    <w:rsid w:val="2BCA04EF"/>
    <w:rsid w:val="2BDE3F9A"/>
    <w:rsid w:val="2BE76A31"/>
    <w:rsid w:val="2BF13CCD"/>
    <w:rsid w:val="2BFC3145"/>
    <w:rsid w:val="2C6B3A80"/>
    <w:rsid w:val="2C932FD6"/>
    <w:rsid w:val="2CE61358"/>
    <w:rsid w:val="2D0839C4"/>
    <w:rsid w:val="2D1660E1"/>
    <w:rsid w:val="2D4823A3"/>
    <w:rsid w:val="2D630BFB"/>
    <w:rsid w:val="2D76092E"/>
    <w:rsid w:val="2D8E211C"/>
    <w:rsid w:val="2D9B2143"/>
    <w:rsid w:val="2DA74F8B"/>
    <w:rsid w:val="2DAF5BEE"/>
    <w:rsid w:val="2E5D564A"/>
    <w:rsid w:val="2E870919"/>
    <w:rsid w:val="2F126410"/>
    <w:rsid w:val="2F146650"/>
    <w:rsid w:val="2F6C093E"/>
    <w:rsid w:val="2F7739FD"/>
    <w:rsid w:val="2F827A5E"/>
    <w:rsid w:val="2F996B56"/>
    <w:rsid w:val="2FBC4699"/>
    <w:rsid w:val="2FD1009E"/>
    <w:rsid w:val="2FD302BA"/>
    <w:rsid w:val="301D7787"/>
    <w:rsid w:val="30ED7159"/>
    <w:rsid w:val="30F54260"/>
    <w:rsid w:val="30FD4EC2"/>
    <w:rsid w:val="31046251"/>
    <w:rsid w:val="312E32CE"/>
    <w:rsid w:val="313A1C72"/>
    <w:rsid w:val="313F54DB"/>
    <w:rsid w:val="31570A76"/>
    <w:rsid w:val="319C292D"/>
    <w:rsid w:val="31B859B9"/>
    <w:rsid w:val="31C32EBE"/>
    <w:rsid w:val="321815D1"/>
    <w:rsid w:val="322748ED"/>
    <w:rsid w:val="328E2276"/>
    <w:rsid w:val="32AB1537"/>
    <w:rsid w:val="32DD4FAB"/>
    <w:rsid w:val="32E12CEE"/>
    <w:rsid w:val="3339133C"/>
    <w:rsid w:val="336F5CC7"/>
    <w:rsid w:val="33B53FBA"/>
    <w:rsid w:val="33C7005D"/>
    <w:rsid w:val="344D2232"/>
    <w:rsid w:val="346C2A8B"/>
    <w:rsid w:val="3489363D"/>
    <w:rsid w:val="349D49F2"/>
    <w:rsid w:val="34DF325D"/>
    <w:rsid w:val="34FE6935"/>
    <w:rsid w:val="35134CB4"/>
    <w:rsid w:val="35180B00"/>
    <w:rsid w:val="35647C06"/>
    <w:rsid w:val="356C2617"/>
    <w:rsid w:val="35B04BF9"/>
    <w:rsid w:val="35CB1A33"/>
    <w:rsid w:val="35EA1EB9"/>
    <w:rsid w:val="36370E76"/>
    <w:rsid w:val="36685B9F"/>
    <w:rsid w:val="369462C9"/>
    <w:rsid w:val="369E0DB3"/>
    <w:rsid w:val="36A4475E"/>
    <w:rsid w:val="36BA1E1E"/>
    <w:rsid w:val="37130FE8"/>
    <w:rsid w:val="373A0C1E"/>
    <w:rsid w:val="37515F68"/>
    <w:rsid w:val="376D2DA2"/>
    <w:rsid w:val="37730F43"/>
    <w:rsid w:val="378C4080"/>
    <w:rsid w:val="37991DE9"/>
    <w:rsid w:val="38507FCD"/>
    <w:rsid w:val="385A5C04"/>
    <w:rsid w:val="386817BB"/>
    <w:rsid w:val="38961E84"/>
    <w:rsid w:val="38B667C2"/>
    <w:rsid w:val="38F31085"/>
    <w:rsid w:val="38F35529"/>
    <w:rsid w:val="3942025E"/>
    <w:rsid w:val="394B7113"/>
    <w:rsid w:val="397228F1"/>
    <w:rsid w:val="397D3044"/>
    <w:rsid w:val="39B837F5"/>
    <w:rsid w:val="39BA7DF4"/>
    <w:rsid w:val="3A1F234D"/>
    <w:rsid w:val="3A211C22"/>
    <w:rsid w:val="3A4D0C68"/>
    <w:rsid w:val="3A6A0C47"/>
    <w:rsid w:val="3AD924FC"/>
    <w:rsid w:val="3B07350D"/>
    <w:rsid w:val="3BA50630"/>
    <w:rsid w:val="3BBF2A2F"/>
    <w:rsid w:val="3BE865EF"/>
    <w:rsid w:val="3C607ED1"/>
    <w:rsid w:val="3CC40A9D"/>
    <w:rsid w:val="3D395675"/>
    <w:rsid w:val="3D50494E"/>
    <w:rsid w:val="3D6E1622"/>
    <w:rsid w:val="3D85392A"/>
    <w:rsid w:val="3D8726E3"/>
    <w:rsid w:val="3DA41427"/>
    <w:rsid w:val="3DB86D41"/>
    <w:rsid w:val="3DFD6502"/>
    <w:rsid w:val="3E126451"/>
    <w:rsid w:val="3E1675C3"/>
    <w:rsid w:val="3E2E2B5F"/>
    <w:rsid w:val="3E815385"/>
    <w:rsid w:val="3EB017C6"/>
    <w:rsid w:val="3EBC016B"/>
    <w:rsid w:val="3EC62D97"/>
    <w:rsid w:val="3ECD17F1"/>
    <w:rsid w:val="3EED47C8"/>
    <w:rsid w:val="3EFE4C27"/>
    <w:rsid w:val="3F2106C0"/>
    <w:rsid w:val="3F3013EB"/>
    <w:rsid w:val="3F32667F"/>
    <w:rsid w:val="3F460F4B"/>
    <w:rsid w:val="3F536D21"/>
    <w:rsid w:val="3F9B6F7B"/>
    <w:rsid w:val="3FE1257F"/>
    <w:rsid w:val="3FEC2CD2"/>
    <w:rsid w:val="40245174"/>
    <w:rsid w:val="40833636"/>
    <w:rsid w:val="4084115C"/>
    <w:rsid w:val="40DA6FCE"/>
    <w:rsid w:val="40FC0CF2"/>
    <w:rsid w:val="41864563"/>
    <w:rsid w:val="419D24D5"/>
    <w:rsid w:val="41CF2C3D"/>
    <w:rsid w:val="41D37CA5"/>
    <w:rsid w:val="41E77BF5"/>
    <w:rsid w:val="423B3A9C"/>
    <w:rsid w:val="42F83B50"/>
    <w:rsid w:val="43486471"/>
    <w:rsid w:val="435979DC"/>
    <w:rsid w:val="43B8443A"/>
    <w:rsid w:val="43C04259"/>
    <w:rsid w:val="43E837B0"/>
    <w:rsid w:val="4466465B"/>
    <w:rsid w:val="44906321"/>
    <w:rsid w:val="449776B0"/>
    <w:rsid w:val="449C4CC6"/>
    <w:rsid w:val="44A43B7B"/>
    <w:rsid w:val="44AC2D8E"/>
    <w:rsid w:val="44B67BB1"/>
    <w:rsid w:val="44F144E0"/>
    <w:rsid w:val="45294080"/>
    <w:rsid w:val="458B0897"/>
    <w:rsid w:val="45990D23"/>
    <w:rsid w:val="45B85B30"/>
    <w:rsid w:val="460F14C8"/>
    <w:rsid w:val="46526B11"/>
    <w:rsid w:val="465A0995"/>
    <w:rsid w:val="46D06EA9"/>
    <w:rsid w:val="46E97F6B"/>
    <w:rsid w:val="46F5246C"/>
    <w:rsid w:val="47413903"/>
    <w:rsid w:val="478101A3"/>
    <w:rsid w:val="478E1ED9"/>
    <w:rsid w:val="47DE1152"/>
    <w:rsid w:val="481334F1"/>
    <w:rsid w:val="481B23A6"/>
    <w:rsid w:val="481E59F2"/>
    <w:rsid w:val="48221986"/>
    <w:rsid w:val="48BC712F"/>
    <w:rsid w:val="48C77E38"/>
    <w:rsid w:val="48CA4CE9"/>
    <w:rsid w:val="48D11064"/>
    <w:rsid w:val="48EB1591"/>
    <w:rsid w:val="48FF3A76"/>
    <w:rsid w:val="492359B6"/>
    <w:rsid w:val="49417BEA"/>
    <w:rsid w:val="49494CF1"/>
    <w:rsid w:val="494B2817"/>
    <w:rsid w:val="496A3101"/>
    <w:rsid w:val="49981BC8"/>
    <w:rsid w:val="49D92519"/>
    <w:rsid w:val="49E113CD"/>
    <w:rsid w:val="4A1B668D"/>
    <w:rsid w:val="4A35597B"/>
    <w:rsid w:val="4A3A2308"/>
    <w:rsid w:val="4AFB201B"/>
    <w:rsid w:val="4B15638F"/>
    <w:rsid w:val="4B645E12"/>
    <w:rsid w:val="4B7C7600"/>
    <w:rsid w:val="4B9965E3"/>
    <w:rsid w:val="4BAB57EF"/>
    <w:rsid w:val="4BD20FCE"/>
    <w:rsid w:val="4BF03B4A"/>
    <w:rsid w:val="4C2F01CE"/>
    <w:rsid w:val="4D1A70D0"/>
    <w:rsid w:val="4D227280"/>
    <w:rsid w:val="4D497768"/>
    <w:rsid w:val="4D565C2E"/>
    <w:rsid w:val="4D7A7B6F"/>
    <w:rsid w:val="4DA67CFD"/>
    <w:rsid w:val="4DB27309"/>
    <w:rsid w:val="4DCE1C69"/>
    <w:rsid w:val="4DD51249"/>
    <w:rsid w:val="4DFE254E"/>
    <w:rsid w:val="4E7E543D"/>
    <w:rsid w:val="4F0F7663"/>
    <w:rsid w:val="4F1836D9"/>
    <w:rsid w:val="4F29214E"/>
    <w:rsid w:val="4F6C1739"/>
    <w:rsid w:val="4F7220AD"/>
    <w:rsid w:val="4F754A92"/>
    <w:rsid w:val="4F820463"/>
    <w:rsid w:val="4FBA4253"/>
    <w:rsid w:val="502344EE"/>
    <w:rsid w:val="502F5A21"/>
    <w:rsid w:val="504B57F2"/>
    <w:rsid w:val="505634DB"/>
    <w:rsid w:val="506D7517"/>
    <w:rsid w:val="508B5BEF"/>
    <w:rsid w:val="509B22D6"/>
    <w:rsid w:val="50B96C00"/>
    <w:rsid w:val="5107796B"/>
    <w:rsid w:val="511E6A63"/>
    <w:rsid w:val="51275918"/>
    <w:rsid w:val="512978E2"/>
    <w:rsid w:val="512C2F2E"/>
    <w:rsid w:val="51583D23"/>
    <w:rsid w:val="517C0CB4"/>
    <w:rsid w:val="518E1E3B"/>
    <w:rsid w:val="51B178D7"/>
    <w:rsid w:val="51DB6702"/>
    <w:rsid w:val="51DD06CC"/>
    <w:rsid w:val="51E94823"/>
    <w:rsid w:val="51EE0B2B"/>
    <w:rsid w:val="52326C6A"/>
    <w:rsid w:val="5245699D"/>
    <w:rsid w:val="52630BD1"/>
    <w:rsid w:val="526613C5"/>
    <w:rsid w:val="529E3361"/>
    <w:rsid w:val="52AD4542"/>
    <w:rsid w:val="52D25055"/>
    <w:rsid w:val="53070A36"/>
    <w:rsid w:val="53682217"/>
    <w:rsid w:val="5386726D"/>
    <w:rsid w:val="53E61ABA"/>
    <w:rsid w:val="540E1011"/>
    <w:rsid w:val="542425E2"/>
    <w:rsid w:val="543E21F2"/>
    <w:rsid w:val="54554E92"/>
    <w:rsid w:val="5458228C"/>
    <w:rsid w:val="545B46E1"/>
    <w:rsid w:val="54977258"/>
    <w:rsid w:val="54A11D47"/>
    <w:rsid w:val="557B4484"/>
    <w:rsid w:val="55AE4859"/>
    <w:rsid w:val="55B300C2"/>
    <w:rsid w:val="56024BA5"/>
    <w:rsid w:val="563C00B7"/>
    <w:rsid w:val="5656482C"/>
    <w:rsid w:val="56586573"/>
    <w:rsid w:val="56625644"/>
    <w:rsid w:val="566273F2"/>
    <w:rsid w:val="568B06F7"/>
    <w:rsid w:val="569825EE"/>
    <w:rsid w:val="56C97C73"/>
    <w:rsid w:val="56E87704"/>
    <w:rsid w:val="5731690C"/>
    <w:rsid w:val="57671164"/>
    <w:rsid w:val="57727B09"/>
    <w:rsid w:val="578515EA"/>
    <w:rsid w:val="57853398"/>
    <w:rsid w:val="57B63E99"/>
    <w:rsid w:val="57DE0CFA"/>
    <w:rsid w:val="58333CC5"/>
    <w:rsid w:val="58353010"/>
    <w:rsid w:val="583D1EC5"/>
    <w:rsid w:val="586D09FC"/>
    <w:rsid w:val="587753D7"/>
    <w:rsid w:val="58C919AA"/>
    <w:rsid w:val="58FF717A"/>
    <w:rsid w:val="59142C25"/>
    <w:rsid w:val="593037D7"/>
    <w:rsid w:val="593757BC"/>
    <w:rsid w:val="59527BF2"/>
    <w:rsid w:val="5979517E"/>
    <w:rsid w:val="59BB0154"/>
    <w:rsid w:val="5A252C10"/>
    <w:rsid w:val="5A491ABC"/>
    <w:rsid w:val="5A577EFE"/>
    <w:rsid w:val="5A81253D"/>
    <w:rsid w:val="5A8E4C59"/>
    <w:rsid w:val="5A981634"/>
    <w:rsid w:val="5AA91A93"/>
    <w:rsid w:val="5AAE2C06"/>
    <w:rsid w:val="5AF26F96"/>
    <w:rsid w:val="5AF5205F"/>
    <w:rsid w:val="5BBE331C"/>
    <w:rsid w:val="5BDD7C46"/>
    <w:rsid w:val="5BF46D3E"/>
    <w:rsid w:val="5C5B6DBD"/>
    <w:rsid w:val="5C835F64"/>
    <w:rsid w:val="5CA22C3E"/>
    <w:rsid w:val="5CC44962"/>
    <w:rsid w:val="5D101956"/>
    <w:rsid w:val="5D153BFE"/>
    <w:rsid w:val="5D79574D"/>
    <w:rsid w:val="5DC56BE4"/>
    <w:rsid w:val="5DCF7A63"/>
    <w:rsid w:val="5DDE1A54"/>
    <w:rsid w:val="5EAB325C"/>
    <w:rsid w:val="5EB17168"/>
    <w:rsid w:val="5F052746"/>
    <w:rsid w:val="5F1871E8"/>
    <w:rsid w:val="5F2D3AFE"/>
    <w:rsid w:val="5F64242D"/>
    <w:rsid w:val="5FC03B07"/>
    <w:rsid w:val="600D03CE"/>
    <w:rsid w:val="601B7E2A"/>
    <w:rsid w:val="60BF3DBF"/>
    <w:rsid w:val="60DB227B"/>
    <w:rsid w:val="60EB4BB4"/>
    <w:rsid w:val="61475B62"/>
    <w:rsid w:val="61525B19"/>
    <w:rsid w:val="619D4372"/>
    <w:rsid w:val="61B21850"/>
    <w:rsid w:val="62B36EF6"/>
    <w:rsid w:val="62DD422B"/>
    <w:rsid w:val="630C0E11"/>
    <w:rsid w:val="63534C92"/>
    <w:rsid w:val="63640C4D"/>
    <w:rsid w:val="63C11BFC"/>
    <w:rsid w:val="63C532AF"/>
    <w:rsid w:val="63CB2A7A"/>
    <w:rsid w:val="641E704E"/>
    <w:rsid w:val="6468651B"/>
    <w:rsid w:val="646D1D84"/>
    <w:rsid w:val="6483518B"/>
    <w:rsid w:val="64F97173"/>
    <w:rsid w:val="65176633"/>
    <w:rsid w:val="655B25FD"/>
    <w:rsid w:val="659A0956"/>
    <w:rsid w:val="65A2780B"/>
    <w:rsid w:val="65B5753E"/>
    <w:rsid w:val="65DD0843"/>
    <w:rsid w:val="66171FA7"/>
    <w:rsid w:val="662621EA"/>
    <w:rsid w:val="66410DD2"/>
    <w:rsid w:val="667E49FA"/>
    <w:rsid w:val="66AF21DF"/>
    <w:rsid w:val="66C0263F"/>
    <w:rsid w:val="66E33E0D"/>
    <w:rsid w:val="66E75856"/>
    <w:rsid w:val="66ED0545"/>
    <w:rsid w:val="67AF7FBD"/>
    <w:rsid w:val="67CB3049"/>
    <w:rsid w:val="68251F38"/>
    <w:rsid w:val="6844104D"/>
    <w:rsid w:val="68510908"/>
    <w:rsid w:val="686B0388"/>
    <w:rsid w:val="688D02FE"/>
    <w:rsid w:val="68DD74D8"/>
    <w:rsid w:val="696372B1"/>
    <w:rsid w:val="696F20FA"/>
    <w:rsid w:val="69F765FE"/>
    <w:rsid w:val="6A13272C"/>
    <w:rsid w:val="6A331379"/>
    <w:rsid w:val="6A6257BB"/>
    <w:rsid w:val="6A701C86"/>
    <w:rsid w:val="6AA933EA"/>
    <w:rsid w:val="6ABC136F"/>
    <w:rsid w:val="6AD0525D"/>
    <w:rsid w:val="6AE368FC"/>
    <w:rsid w:val="6AF40B09"/>
    <w:rsid w:val="6B00070A"/>
    <w:rsid w:val="6B587750"/>
    <w:rsid w:val="6B99448D"/>
    <w:rsid w:val="6BEB618E"/>
    <w:rsid w:val="6C0E769F"/>
    <w:rsid w:val="6C375151"/>
    <w:rsid w:val="6C9A56E0"/>
    <w:rsid w:val="6CA16A6E"/>
    <w:rsid w:val="6CAB169B"/>
    <w:rsid w:val="6CAD0F6F"/>
    <w:rsid w:val="6CB71DEE"/>
    <w:rsid w:val="6CFF5543"/>
    <w:rsid w:val="6D0D1A0E"/>
    <w:rsid w:val="6D2222AA"/>
    <w:rsid w:val="6D394EF9"/>
    <w:rsid w:val="6D4713C4"/>
    <w:rsid w:val="6DD8201C"/>
    <w:rsid w:val="6E0472B5"/>
    <w:rsid w:val="6E0A37A2"/>
    <w:rsid w:val="6E3E17E5"/>
    <w:rsid w:val="6E8757F0"/>
    <w:rsid w:val="6E934195"/>
    <w:rsid w:val="6EED1AF7"/>
    <w:rsid w:val="6F241291"/>
    <w:rsid w:val="6F451933"/>
    <w:rsid w:val="6F5558EE"/>
    <w:rsid w:val="6F59718C"/>
    <w:rsid w:val="6F9E7295"/>
    <w:rsid w:val="6FAF14A2"/>
    <w:rsid w:val="6FB42615"/>
    <w:rsid w:val="6FF46241"/>
    <w:rsid w:val="704716DB"/>
    <w:rsid w:val="70480FAF"/>
    <w:rsid w:val="70804EB4"/>
    <w:rsid w:val="708814A7"/>
    <w:rsid w:val="709F1517"/>
    <w:rsid w:val="70A02B99"/>
    <w:rsid w:val="70AE52B6"/>
    <w:rsid w:val="70DE203F"/>
    <w:rsid w:val="713A4D9B"/>
    <w:rsid w:val="715220E5"/>
    <w:rsid w:val="719C5A56"/>
    <w:rsid w:val="71BE65AE"/>
    <w:rsid w:val="71C805F9"/>
    <w:rsid w:val="71DE1C4C"/>
    <w:rsid w:val="71E371E1"/>
    <w:rsid w:val="723B7A2C"/>
    <w:rsid w:val="72567B5E"/>
    <w:rsid w:val="727162DD"/>
    <w:rsid w:val="728305FF"/>
    <w:rsid w:val="729977D5"/>
    <w:rsid w:val="72C96CF9"/>
    <w:rsid w:val="72DE539D"/>
    <w:rsid w:val="72F83160"/>
    <w:rsid w:val="73441F01"/>
    <w:rsid w:val="73B344DE"/>
    <w:rsid w:val="73C179F6"/>
    <w:rsid w:val="74477EFB"/>
    <w:rsid w:val="74A47ADB"/>
    <w:rsid w:val="75045DEC"/>
    <w:rsid w:val="7533222E"/>
    <w:rsid w:val="75386324"/>
    <w:rsid w:val="75986535"/>
    <w:rsid w:val="75BE5F9B"/>
    <w:rsid w:val="75D41399"/>
    <w:rsid w:val="75DA08FB"/>
    <w:rsid w:val="761756AB"/>
    <w:rsid w:val="7662101C"/>
    <w:rsid w:val="766905FD"/>
    <w:rsid w:val="767572DB"/>
    <w:rsid w:val="76AF3B36"/>
    <w:rsid w:val="76F46C2E"/>
    <w:rsid w:val="77505319"/>
    <w:rsid w:val="77955421"/>
    <w:rsid w:val="781F4CEB"/>
    <w:rsid w:val="784D1858"/>
    <w:rsid w:val="787943FB"/>
    <w:rsid w:val="7899684C"/>
    <w:rsid w:val="78CD2BDF"/>
    <w:rsid w:val="78E42141"/>
    <w:rsid w:val="791218EC"/>
    <w:rsid w:val="79DD11B9"/>
    <w:rsid w:val="7A5862B2"/>
    <w:rsid w:val="7A660D56"/>
    <w:rsid w:val="7A684727"/>
    <w:rsid w:val="7A870569"/>
    <w:rsid w:val="7AC50593"/>
    <w:rsid w:val="7B332A56"/>
    <w:rsid w:val="7B51165F"/>
    <w:rsid w:val="7B845591"/>
    <w:rsid w:val="7B8C602F"/>
    <w:rsid w:val="7B8F3A15"/>
    <w:rsid w:val="7BB3390E"/>
    <w:rsid w:val="7C0861C2"/>
    <w:rsid w:val="7C5E2286"/>
    <w:rsid w:val="7CAA1027"/>
    <w:rsid w:val="7CB60617"/>
    <w:rsid w:val="7CCF0A8E"/>
    <w:rsid w:val="7CF60710"/>
    <w:rsid w:val="7D036989"/>
    <w:rsid w:val="7D102958"/>
    <w:rsid w:val="7D1961AD"/>
    <w:rsid w:val="7D4551F4"/>
    <w:rsid w:val="7D59469C"/>
    <w:rsid w:val="7D5947FB"/>
    <w:rsid w:val="7D9121E7"/>
    <w:rsid w:val="7D930040"/>
    <w:rsid w:val="7DAA32A9"/>
    <w:rsid w:val="7DBA34EC"/>
    <w:rsid w:val="7E303711"/>
    <w:rsid w:val="7E350DC4"/>
    <w:rsid w:val="7E6D4EDB"/>
    <w:rsid w:val="7E81225C"/>
    <w:rsid w:val="7E933D3D"/>
    <w:rsid w:val="7ED60870"/>
    <w:rsid w:val="7EE527EB"/>
    <w:rsid w:val="7EE75398"/>
    <w:rsid w:val="7EF01CB9"/>
    <w:rsid w:val="7F053DB5"/>
    <w:rsid w:val="7F405C73"/>
    <w:rsid w:val="7F7E3F43"/>
    <w:rsid w:val="7F995383"/>
    <w:rsid w:val="7FBA3C77"/>
    <w:rsid w:val="7FC77D3A"/>
    <w:rsid w:val="FFEF69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_GB2312" w:cs="Times New Roman"/>
      <w:kern w:val="2"/>
      <w:sz w:val="32"/>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autoSpaceDE w:val="0"/>
      <w:autoSpaceDN w:val="0"/>
      <w:jc w:val="left"/>
    </w:pPr>
    <w:rPr>
      <w:rFonts w:ascii="仿宋_GB2312" w:hAnsi="仿宋_GB2312" w:eastAsia="仿宋_GB2312" w:cs="仿宋_GB2312"/>
      <w:kern w:val="0"/>
      <w:sz w:val="32"/>
      <w:szCs w:val="32"/>
      <w:lang w:val="zh-CN" w:bidi="zh-CN"/>
    </w:rPr>
  </w:style>
  <w:style w:type="paragraph" w:styleId="3">
    <w:name w:val="Plain Text"/>
    <w:basedOn w:val="1"/>
    <w:qFormat/>
    <w:uiPriority w:val="0"/>
    <w:rPr>
      <w:rFonts w:ascii="宋体" w:hAnsi="Courier New"/>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3926</Words>
  <Characters>4012</Characters>
  <Lines>0</Lines>
  <Paragraphs>0</Paragraphs>
  <TotalTime>52</TotalTime>
  <ScaleCrop>false</ScaleCrop>
  <LinksUpToDate>false</LinksUpToDate>
  <CharactersWithSpaces>4081</CharactersWithSpaces>
  <Application>WPS Office_11.8.2.10605_F1E327BC-269C-435d-A152-05C5408002CA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2021-12-14T16:15:00Z</dcterms:created>
  <dc:creator>Administrator</dc:creator>
  <cp:lastModifiedBy>user</cp:lastModifiedBy>
  <dcterms:modified xsi:type="dcterms:W3CDTF">2024-11-27T16:04:32Z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2052-11.8.2.10605</vt:lpwstr>
  </property>
  <property fmtid="{D5CDD505-2E9C-101B-9397-08002B2CF9AE}" pid="3" name="ICV">
    <vt:lpwstr>AD537154796F435B90BD922E25B9D056</vt:lpwstr>
  </property>
</Properties>
</file>