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20" w:firstLineChars="100"/>
        <w:jc w:val="both"/>
        <w:textAlignment w:val="auto"/>
        <w:rPr>
          <w:rFonts w:hint="default"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20" w:firstLineChars="100"/>
        <w:jc w:val="both"/>
        <w:textAlignment w:val="auto"/>
        <w:rPr>
          <w:rFonts w:hint="default" w:ascii="Times New Roman" w:hAnsi="Times New Roman" w:eastAsia="仿宋_GB2312"/>
          <w:sz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20" w:firstLineChars="100"/>
        <w:jc w:val="both"/>
        <w:textAlignment w:val="auto"/>
        <w:rPr>
          <w:rFonts w:hint="default" w:ascii="Times New Roman" w:hAnsi="Times New Roman" w:eastAsia="仿宋_GB2312" w:cs="Times New Roman"/>
          <w:sz w:val="32"/>
          <w:lang w:eastAsia="zh-CN"/>
        </w:rPr>
      </w:pPr>
      <w:r>
        <w:rPr>
          <w:rFonts w:hint="default" w:ascii="Times New Roman" w:hAnsi="Times New Roman" w:eastAsia="仿宋_GB2312"/>
          <w:sz w:val="32"/>
        </w:rPr>
        <w:t>深金</w:t>
      </w:r>
      <w:r>
        <w:rPr>
          <w:rFonts w:hint="eastAsia" w:ascii="Times New Roman" w:hAnsi="Times New Roman" w:eastAsia="仿宋_GB2312"/>
          <w:sz w:val="32"/>
          <w:lang w:val="en-US" w:eastAsia="zh-CN"/>
        </w:rPr>
        <w:t>管</w:t>
      </w:r>
      <w:r>
        <w:rPr>
          <w:rFonts w:hint="default" w:ascii="Times New Roman" w:hAnsi="Times New Roman" w:eastAsia="仿宋_GB2312"/>
          <w:sz w:val="32"/>
        </w:rPr>
        <w:t>〔202</w:t>
      </w:r>
      <w:r>
        <w:rPr>
          <w:rFonts w:hint="default" w:ascii="Times New Roman" w:hAnsi="Times New Roman" w:eastAsia="仿宋_GB2312"/>
          <w:sz w:val="32"/>
          <w:lang w:eastAsia="zh-CN"/>
        </w:rPr>
        <w:t>4</w:t>
      </w:r>
      <w:r>
        <w:rPr>
          <w:rFonts w:hint="default" w:ascii="Times New Roman" w:hAnsi="Times New Roman" w:eastAsia="仿宋_GB2312"/>
          <w:sz w:val="32"/>
        </w:rPr>
        <w:t>〕</w:t>
      </w:r>
      <w:r>
        <w:rPr>
          <w:rFonts w:hint="default" w:ascii="Times New Roman" w:hAnsi="Times New Roman" w:eastAsia="仿宋_GB2312"/>
          <w:sz w:val="32"/>
          <w:lang w:eastAsia="zh-CN"/>
        </w:rPr>
        <w:t xml:space="preserve">  </w:t>
      </w:r>
      <w:r>
        <w:rPr>
          <w:rFonts w:hint="default" w:ascii="Times New Roman" w:hAnsi="Times New Roman" w:eastAsia="仿宋_GB2312"/>
          <w:sz w:val="32"/>
        </w:rPr>
        <w:t>号               签发人: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ascii="Times New Roman" w:hAnsi="Times New Roman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418" w:hanging="418" w:hangingChars="100"/>
        <w:jc w:val="center"/>
        <w:textAlignment w:val="auto"/>
        <w:rPr>
          <w:rFonts w:hint="default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关于商请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  <w:t>协调转发“</w:t>
      </w:r>
      <w:r>
        <w:rPr>
          <w:rFonts w:hint="default" w:ascii="方正小标宋_GBK" w:hAnsi="方正小标宋_GBK" w:eastAsia="方正小标宋_GBK" w:cs="方正小标宋_GBK"/>
          <w:bCs/>
          <w:spacing w:val="-11"/>
          <w:sz w:val="44"/>
          <w:szCs w:val="44"/>
          <w:lang w:eastAsia="zh-CN"/>
        </w:rPr>
        <w:t>中融投资案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  <w:t>”</w:t>
      </w:r>
      <w:r>
        <w:rPr>
          <w:rFonts w:hint="default" w:ascii="方正小标宋_GBK" w:hAnsi="方正小标宋_GBK" w:eastAsia="方正小标宋_GBK" w:cs="方正小标宋_GBK"/>
          <w:bCs/>
          <w:spacing w:val="-11"/>
          <w:sz w:val="44"/>
          <w:szCs w:val="44"/>
          <w:lang w:eastAsia="zh-CN"/>
        </w:rPr>
        <w:t>及“外快理财案”退赔</w:t>
      </w:r>
      <w:r>
        <w:rPr>
          <w:rFonts w:hint="default" w:ascii="方正小标宋_GBK" w:hAnsi="方正小标宋_GBK" w:eastAsia="方正小标宋_GBK" w:cs="方正小标宋_GBK"/>
          <w:bCs/>
          <w:spacing w:val="-11"/>
          <w:sz w:val="44"/>
          <w:szCs w:val="44"/>
          <w:lang w:eastAsia="zh-CN"/>
        </w:rPr>
        <w:t>公告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  <w:t>的请示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广东省地方金融管理局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深圳市中级人民法院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（以下简称“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深圳市中院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”）在执行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中融投资案及外快理财案退赔中，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已于 2024 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日发布了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相关案件退赔工作的公告，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通知受损集资参与人在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深圳市中院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开发的信息登记和案款发放信息系统填报收款账户等信息,以便划付退赔款等。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为充分保障受损集资参与人权益，现报请贵局协调各地处非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牵头部门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转发该案退赔公告，以便各集资参与人及时根据公告内容完成身份核验、提交划款信息。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专此请示。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98" w:leftChars="304" w:hanging="960" w:hanging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98" w:leftChars="304" w:hanging="960" w:hanging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98" w:leftChars="304" w:hanging="960" w:hangingChars="3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1.中融投资案退赔公告及相关附件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268" w:leftChars="304" w:hanging="630" w:hangingChars="3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/>
          <w:lang w:eastAsia="zh-CN"/>
        </w:rPr>
        <w:t xml:space="preserve">       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2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外快理财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案退赔公告及相关附件</w:t>
      </w:r>
    </w:p>
    <w:p>
      <w:pPr>
        <w:pStyle w:val="2"/>
        <w:rPr>
          <w:rFonts w:hint="default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both"/>
        <w:textAlignment w:val="auto"/>
        <w:rPr>
          <w:rFonts w:hint="default"/>
        </w:rPr>
      </w:pPr>
      <w:r>
        <w:rPr>
          <w:rFonts w:hint="default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480" w:firstLineChars="14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深圳市地方金融管理局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（深圳市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地方金融管理局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联系人：赖宇辉，联系电话：0755-88121791；深圳市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中级人民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法院联系人：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马黎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庄钊豪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，联系电话：0755-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83535340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18998927776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475A7BAE"/>
    <w:rsid w:val="04B92B3E"/>
    <w:rsid w:val="14134783"/>
    <w:rsid w:val="16184DFC"/>
    <w:rsid w:val="1653052A"/>
    <w:rsid w:val="16C62AAA"/>
    <w:rsid w:val="19763FD2"/>
    <w:rsid w:val="1CC528B8"/>
    <w:rsid w:val="1F9D1144"/>
    <w:rsid w:val="2296587C"/>
    <w:rsid w:val="25BC4D69"/>
    <w:rsid w:val="2C5B5B18"/>
    <w:rsid w:val="384D7624"/>
    <w:rsid w:val="3E3C7BBC"/>
    <w:rsid w:val="3EDB789F"/>
    <w:rsid w:val="4099176C"/>
    <w:rsid w:val="4110479E"/>
    <w:rsid w:val="463F1A86"/>
    <w:rsid w:val="475A7BAE"/>
    <w:rsid w:val="4BB26B7D"/>
    <w:rsid w:val="55606D85"/>
    <w:rsid w:val="56752A0A"/>
    <w:rsid w:val="579D5BFC"/>
    <w:rsid w:val="57DE5921"/>
    <w:rsid w:val="59023B9D"/>
    <w:rsid w:val="5DDFCBAF"/>
    <w:rsid w:val="5ED43A74"/>
    <w:rsid w:val="672F7CD6"/>
    <w:rsid w:val="67A55390"/>
    <w:rsid w:val="69794D27"/>
    <w:rsid w:val="6F052632"/>
    <w:rsid w:val="701D01BA"/>
    <w:rsid w:val="771147F0"/>
    <w:rsid w:val="B6761691"/>
    <w:rsid w:val="D9EFE4A9"/>
    <w:rsid w:val="FF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ind w:firstLine="640" w:firstLineChars="200"/>
      <w:jc w:val="left"/>
      <w:outlineLvl w:val="0"/>
    </w:pPr>
    <w:rPr>
      <w:rFonts w:ascii="黑体" w:hAnsi="黑体" w:eastAsia="黑体" w:cs="Times New Roman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BodyText"/>
    <w:basedOn w:val="1"/>
    <w:next w:val="1"/>
    <w:qFormat/>
    <w:uiPriority w:val="0"/>
    <w:pPr>
      <w:widowControl/>
      <w:textAlignment w:val="baseline"/>
    </w:p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460</Characters>
  <Lines>0</Lines>
  <Paragraphs>0</Paragraphs>
  <TotalTime>2</TotalTime>
  <ScaleCrop>false</ScaleCrop>
  <LinksUpToDate>false</LinksUpToDate>
  <CharactersWithSpaces>493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2024-04-24T02:21:00Z</dcterms:created>
  <dc:creator>Eathen.L</dc:creator>
  <cp:lastModifiedBy>laiyuhui</cp:lastModifiedBy>
  <cp:lastPrinted>2024-05-01T06:03:00Z</cp:lastPrinted>
  <dcterms:modified xsi:type="dcterms:W3CDTF">2024-12-20T15:03:04Z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266ECDE3535D4E59BD858DFAE0E40177_11</vt:lpwstr>
  </property>
</Properties>
</file>