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numPr>
          <w:ilvl w:val="-1"/>
          <w:numId w:val="0"/>
        </w:numPr>
        <w:jc w:val="center"/>
        <w:rPr>
          <w:rFonts w:hint="eastAsia" w:ascii="方正小标宋简体" w:hAnsi="方正小标宋简体" w:eastAsia="方正小标宋简体" w:cs="方正小标宋简体"/>
          <w:sz w:val="44"/>
          <w:szCs w:val="44"/>
        </w:rPr>
      </w:pPr>
    </w:p>
    <w:p>
      <w:pPr>
        <w:pStyle w:val="3"/>
        <w:numPr>
          <w:ilvl w:val="-1"/>
          <w:numId w:val="0"/>
        </w:numPr>
        <w:jc w:val="center"/>
        <w:rPr>
          <w:rFonts w:hint="eastAsia" w:ascii="方正小标宋简体" w:hAnsi="方正小标宋简体" w:eastAsia="方正小标宋简体" w:cs="方正小标宋简体"/>
          <w:sz w:val="44"/>
          <w:szCs w:val="44"/>
        </w:rPr>
      </w:pPr>
    </w:p>
    <w:p>
      <w:pPr>
        <w:pStyle w:val="3"/>
        <w:numPr>
          <w:ilvl w:val="-1"/>
          <w:numId w:val="0"/>
        </w:numPr>
        <w:jc w:val="center"/>
        <w:rPr>
          <w:rFonts w:hint="eastAsia" w:ascii="方正小标宋简体" w:hAnsi="方正小标宋简体" w:eastAsia="方正小标宋简体" w:cs="方正小标宋简体"/>
          <w:sz w:val="44"/>
          <w:szCs w:val="44"/>
        </w:rPr>
      </w:pPr>
    </w:p>
    <w:p>
      <w:pPr>
        <w:pStyle w:val="3"/>
        <w:numPr>
          <w:ilvl w:val="-1"/>
          <w:numId w:val="0"/>
        </w:numPr>
        <w:spacing w:before="0" w:line="560" w:lineRule="exact"/>
        <w:ind w:left="0" w:right="0"/>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韶关市翁源县2025年度土地征收成片开发方案</w:t>
      </w:r>
    </w:p>
    <w:p>
      <w:pPr>
        <w:pStyle w:val="3"/>
        <w:numPr>
          <w:ilvl w:val="-1"/>
          <w:numId w:val="0"/>
        </w:numPr>
        <w:spacing w:before="0" w:line="560" w:lineRule="exact"/>
        <w:ind w:left="0" w:right="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eastAsia="zh-CN"/>
        </w:rPr>
        <w:t>（第一批）</w:t>
      </w:r>
      <w:r>
        <w:rPr>
          <w:rFonts w:hint="eastAsia" w:ascii="方正小标宋简体" w:hAnsi="方正小标宋简体" w:eastAsia="方正小标宋简体" w:cs="方正小标宋简体"/>
          <w:sz w:val="44"/>
          <w:szCs w:val="44"/>
        </w:rPr>
        <w:t>（公示草案）</w:t>
      </w:r>
    </w:p>
    <w:p>
      <w:pPr>
        <w:pStyle w:val="4"/>
        <w:numPr>
          <w:ilvl w:val="-1"/>
          <w:numId w:val="0"/>
        </w:numPr>
        <w:autoSpaceDE/>
        <w:autoSpaceDN/>
        <w:spacing w:before="0" w:line="560" w:lineRule="exact"/>
        <w:ind w:firstLine="0" w:firstLineChars="0"/>
        <w:jc w:val="both"/>
      </w:pPr>
      <w:bookmarkStart w:id="0" w:name="一、编制依据"/>
      <w:bookmarkEnd w:id="0"/>
    </w:p>
    <w:p>
      <w:pPr>
        <w:pStyle w:val="2"/>
        <w:autoSpaceDE/>
        <w:autoSpaceDN/>
        <w:spacing w:before="134" w:line="560" w:lineRule="exact"/>
        <w:ind w:right="0" w:firstLine="640" w:firstLineChars="200"/>
        <w:jc w:val="both"/>
        <w:rPr>
          <w:rFonts w:hint="eastAsia" w:ascii="黑体" w:hAnsi="黑体" w:eastAsia="黑体" w:cs="黑体"/>
          <w:b w:val="0"/>
          <w:bCs w:val="0"/>
          <w:szCs w:val="32"/>
        </w:rPr>
      </w:pPr>
      <w:r>
        <w:rPr>
          <w:rFonts w:hint="eastAsia" w:ascii="黑体" w:hAnsi="黑体" w:eastAsia="黑体" w:cs="黑体"/>
          <w:b w:val="0"/>
          <w:bCs w:val="0"/>
          <w:szCs w:val="32"/>
        </w:rPr>
        <w:t>编制依据</w:t>
      </w:r>
    </w:p>
    <w:p>
      <w:pPr>
        <w:pStyle w:val="11"/>
        <w:autoSpaceDE/>
        <w:autoSpaceDN/>
        <w:spacing w:before="0" w:line="560" w:lineRule="exact"/>
        <w:ind w:left="0" w:right="0" w:firstLine="640"/>
        <w:jc w:val="both"/>
        <w:rPr>
          <w:rFonts w:hint="eastAsia"/>
          <w:szCs w:val="24"/>
          <w:lang w:eastAsia="zh-CN"/>
        </w:rPr>
      </w:pPr>
      <w:r>
        <w:rPr>
          <w:rFonts w:hint="eastAsia"/>
          <w:spacing w:val="0"/>
          <w:szCs w:val="24"/>
          <w:lang w:eastAsia="zh-CN"/>
        </w:rPr>
        <w:t>依据《自然资源部关于印发&lt;土地征收成片开发标准&gt;的通知》（自然资规〔2023〕7号</w:t>
      </w:r>
      <w:r>
        <w:rPr>
          <w:rFonts w:hint="eastAsia"/>
          <w:szCs w:val="24"/>
          <w:lang w:eastAsia="zh-CN"/>
        </w:rPr>
        <w:t>）和《广东</w:t>
      </w:r>
      <w:bookmarkStart w:id="10" w:name="_GoBack"/>
      <w:bookmarkEnd w:id="10"/>
      <w:r>
        <w:rPr>
          <w:rFonts w:hint="eastAsia"/>
          <w:szCs w:val="24"/>
          <w:lang w:eastAsia="zh-CN"/>
        </w:rPr>
        <w:t>省自然资源厅关于进一步规范土地征收成片开发工作的通知》（粤自然资规字〔2024〕7号）</w:t>
      </w:r>
      <w:r>
        <w:rPr>
          <w:rFonts w:hint="eastAsia"/>
          <w:spacing w:val="0"/>
          <w:szCs w:val="24"/>
          <w:lang w:eastAsia="zh-CN"/>
        </w:rPr>
        <w:t>等相关文件，韶关市翁源县人民政府组织编制了《韶关市翁源县2025年度土地征收成片开发方案（第一批）（公示草案）》（以下简称“本方案”）。</w:t>
      </w:r>
    </w:p>
    <w:p>
      <w:pPr>
        <w:pStyle w:val="2"/>
        <w:spacing w:before="155"/>
        <w:ind w:firstLine="640" w:firstLineChars="200"/>
        <w:rPr>
          <w:rFonts w:hint="eastAsia"/>
        </w:rPr>
      </w:pPr>
      <w:bookmarkStart w:id="1" w:name="二、基本情况"/>
      <w:bookmarkEnd w:id="1"/>
      <w:r>
        <w:rPr>
          <w:rFonts w:hint="eastAsia"/>
        </w:rPr>
        <w:t>基本情况</w:t>
      </w:r>
    </w:p>
    <w:p>
      <w:pPr>
        <w:pStyle w:val="11"/>
        <w:autoSpaceDE/>
        <w:autoSpaceDN/>
        <w:spacing w:before="0" w:line="560" w:lineRule="exact"/>
        <w:ind w:left="0" w:right="0" w:firstLine="640"/>
        <w:rPr>
          <w:rFonts w:hint="eastAsia"/>
          <w:szCs w:val="24"/>
          <w:lang w:eastAsia="zh-CN"/>
        </w:rPr>
      </w:pPr>
      <w:r>
        <w:rPr>
          <w:rFonts w:hint="eastAsia"/>
          <w:szCs w:val="24"/>
          <w:lang w:val="en-US" w:eastAsia="zh-CN"/>
        </w:rPr>
        <w:t>本方案</w:t>
      </w:r>
      <w:r>
        <w:rPr>
          <w:rFonts w:hint="eastAsia"/>
          <w:szCs w:val="24"/>
          <w:lang w:eastAsia="zh-CN"/>
        </w:rPr>
        <w:t>成片开发范围划定2个片区，分别是官渡镇片区和龙仙镇片区，总面积11.4370</w:t>
      </w:r>
      <w:r>
        <w:rPr>
          <w:rFonts w:hint="eastAsia"/>
          <w:szCs w:val="24"/>
          <w:lang w:val="en-US" w:eastAsia="zh-CN"/>
        </w:rPr>
        <w:t>公顷，</w:t>
      </w:r>
      <w:r>
        <w:rPr>
          <w:rFonts w:hint="eastAsia"/>
          <w:spacing w:val="0"/>
          <w:szCs w:val="24"/>
          <w:lang w:eastAsia="zh-CN"/>
        </w:rPr>
        <w:t>片区内共涉及</w:t>
      </w:r>
      <w:r>
        <w:rPr>
          <w:rFonts w:hint="eastAsia"/>
          <w:szCs w:val="24"/>
          <w:lang w:eastAsia="zh-CN"/>
        </w:rPr>
        <w:t>2</w:t>
      </w:r>
      <w:r>
        <w:rPr>
          <w:rFonts w:hint="eastAsia"/>
          <w:spacing w:val="0"/>
          <w:szCs w:val="24"/>
          <w:lang w:eastAsia="zh-CN"/>
        </w:rPr>
        <w:t>个拟征收地块，拟征收面积</w:t>
      </w:r>
      <w:r>
        <w:rPr>
          <w:rFonts w:hint="eastAsia"/>
          <w:szCs w:val="24"/>
          <w:lang w:eastAsia="zh-CN"/>
        </w:rPr>
        <w:t>7.5031</w:t>
      </w:r>
      <w:r>
        <w:rPr>
          <w:rFonts w:hint="eastAsia"/>
          <w:spacing w:val="0"/>
          <w:szCs w:val="24"/>
          <w:lang w:eastAsia="zh-CN"/>
        </w:rPr>
        <w:t>公顷，占成片开发范围的</w:t>
      </w:r>
      <w:r>
        <w:rPr>
          <w:rFonts w:hint="eastAsia"/>
          <w:szCs w:val="24"/>
          <w:lang w:eastAsia="zh-CN"/>
        </w:rPr>
        <w:t>65.6</w:t>
      </w:r>
      <w:r>
        <w:rPr>
          <w:rFonts w:hint="eastAsia"/>
          <w:szCs w:val="24"/>
          <w:lang w:val="en-US" w:eastAsia="zh-CN"/>
        </w:rPr>
        <w:t>0</w:t>
      </w:r>
      <w:r>
        <w:rPr>
          <w:rFonts w:hint="eastAsia"/>
          <w:szCs w:val="24"/>
          <w:lang w:eastAsia="zh-CN"/>
        </w:rPr>
        <w:t>%。</w:t>
      </w:r>
    </w:p>
    <w:p>
      <w:pPr>
        <w:pStyle w:val="11"/>
        <w:autoSpaceDE/>
        <w:autoSpaceDN/>
        <w:spacing w:before="0" w:line="560" w:lineRule="exact"/>
        <w:ind w:left="0" w:right="0" w:firstLine="0" w:firstLineChars="0"/>
        <w:rPr>
          <w:rFonts w:hint="eastAsia"/>
          <w:szCs w:val="24"/>
          <w:lang w:eastAsia="zh-CN"/>
        </w:rPr>
      </w:pPr>
    </w:p>
    <w:p>
      <w:pPr>
        <w:pStyle w:val="11"/>
        <w:autoSpaceDE/>
        <w:autoSpaceDN/>
        <w:spacing w:before="0" w:line="560" w:lineRule="exact"/>
        <w:ind w:left="0" w:right="0" w:firstLine="0" w:firstLineChars="0"/>
        <w:rPr>
          <w:rFonts w:hint="eastAsia"/>
          <w:szCs w:val="24"/>
          <w:lang w:eastAsia="zh-CN"/>
        </w:rPr>
      </w:pPr>
    </w:p>
    <w:p>
      <w:pPr>
        <w:pStyle w:val="11"/>
        <w:autoSpaceDE/>
        <w:autoSpaceDN/>
        <w:spacing w:before="0" w:line="560" w:lineRule="exact"/>
        <w:ind w:left="0" w:right="0" w:firstLine="0" w:firstLineChars="0"/>
        <w:rPr>
          <w:rFonts w:hint="eastAsia"/>
          <w:szCs w:val="24"/>
          <w:lang w:eastAsia="zh-CN"/>
        </w:rPr>
      </w:pPr>
    </w:p>
    <w:p>
      <w:pPr>
        <w:pStyle w:val="11"/>
        <w:autoSpaceDE/>
        <w:autoSpaceDN/>
        <w:spacing w:before="0" w:line="560" w:lineRule="exact"/>
        <w:ind w:left="0" w:right="0" w:firstLine="0" w:firstLineChars="0"/>
        <w:rPr>
          <w:rFonts w:hint="eastAsia"/>
          <w:szCs w:val="24"/>
          <w:lang w:eastAsia="zh-CN"/>
        </w:rPr>
      </w:pPr>
    </w:p>
    <w:p>
      <w:pPr>
        <w:pStyle w:val="11"/>
        <w:autoSpaceDE/>
        <w:autoSpaceDN/>
        <w:spacing w:before="0" w:line="560" w:lineRule="exact"/>
        <w:ind w:left="0" w:right="0" w:firstLine="0" w:firstLineChars="0"/>
        <w:rPr>
          <w:rFonts w:hint="eastAsia"/>
          <w:szCs w:val="24"/>
          <w:lang w:eastAsia="zh-CN"/>
        </w:rPr>
      </w:pPr>
    </w:p>
    <w:p>
      <w:pPr>
        <w:spacing w:before="0" w:line="560" w:lineRule="exact"/>
        <w:ind w:left="0" w:right="0" w:firstLine="0"/>
        <w:jc w:val="center"/>
        <w:rPr>
          <w:rFonts w:hint="eastAsia" w:eastAsia="仿宋_GB2312"/>
          <w:b/>
          <w:sz w:val="24"/>
          <w:lang w:val="en-US" w:eastAsia="zh-CN"/>
        </w:rPr>
      </w:pPr>
      <w:r>
        <w:rPr>
          <w:b/>
          <w:sz w:val="24"/>
        </w:rPr>
        <w:t>表1</w:t>
      </w:r>
      <w:r>
        <w:rPr>
          <w:rFonts w:hint="eastAsia"/>
          <w:b/>
          <w:sz w:val="24"/>
          <w:lang w:val="en-US" w:eastAsia="zh-CN"/>
        </w:rPr>
        <w:t xml:space="preserve"> </w:t>
      </w:r>
      <w:r>
        <w:rPr>
          <w:b/>
          <w:sz w:val="24"/>
        </w:rPr>
        <w:t>成片开发情况</w:t>
      </w:r>
      <w:r>
        <w:rPr>
          <w:rFonts w:hint="eastAsia"/>
          <w:b/>
          <w:sz w:val="24"/>
          <w:lang w:val="en-US" w:eastAsia="zh-CN"/>
        </w:rPr>
        <w:t>表</w:t>
      </w:r>
    </w:p>
    <w:p>
      <w:pPr>
        <w:autoSpaceDE/>
        <w:autoSpaceDN/>
        <w:adjustRightInd w:val="0"/>
        <w:spacing w:before="0" w:line="560" w:lineRule="exact"/>
        <w:ind w:left="0" w:right="0" w:firstLine="0"/>
        <w:jc w:val="right"/>
        <w:rPr>
          <w:b/>
          <w:sz w:val="24"/>
        </w:rPr>
      </w:pPr>
      <w:r>
        <w:rPr>
          <w:rFonts w:hint="eastAsia" w:ascii="仿宋"/>
          <w:b/>
          <w:sz w:val="24"/>
        </w:rPr>
        <w:t>单位：公顷</w:t>
      </w:r>
    </w:p>
    <w:tbl>
      <w:tblPr>
        <w:tblStyle w:val="12"/>
        <w:tblW w:w="517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80"/>
        <w:gridCol w:w="1390"/>
        <w:gridCol w:w="1483"/>
        <w:gridCol w:w="1310"/>
        <w:gridCol w:w="1413"/>
        <w:gridCol w:w="1382"/>
        <w:gridCol w:w="11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589" w:type="pct"/>
            <w:vMerge w:val="restart"/>
            <w:vAlign w:val="center"/>
          </w:tcPr>
          <w:p>
            <w:pPr>
              <w:pStyle w:val="16"/>
              <w:autoSpaceDE/>
              <w:autoSpaceDN/>
              <w:spacing w:line="400" w:lineRule="exact"/>
              <w:ind w:left="0" w:right="0"/>
              <w:jc w:val="center"/>
              <w:rPr>
                <w:b/>
                <w:sz w:val="22"/>
              </w:rPr>
            </w:pPr>
            <w:r>
              <w:rPr>
                <w:b/>
                <w:sz w:val="22"/>
              </w:rPr>
              <w:t>片区编号</w:t>
            </w:r>
          </w:p>
        </w:tc>
        <w:tc>
          <w:tcPr>
            <w:tcW w:w="757" w:type="pct"/>
            <w:vMerge w:val="restart"/>
            <w:vAlign w:val="center"/>
          </w:tcPr>
          <w:p>
            <w:pPr>
              <w:pStyle w:val="16"/>
              <w:autoSpaceDE/>
              <w:autoSpaceDN/>
              <w:spacing w:line="400" w:lineRule="exact"/>
              <w:ind w:left="0"/>
              <w:jc w:val="center"/>
              <w:rPr>
                <w:b/>
                <w:sz w:val="22"/>
              </w:rPr>
            </w:pPr>
            <w:r>
              <w:rPr>
                <w:b/>
                <w:sz w:val="22"/>
              </w:rPr>
              <w:t>片区名称</w:t>
            </w:r>
          </w:p>
        </w:tc>
        <w:tc>
          <w:tcPr>
            <w:tcW w:w="808" w:type="pct"/>
            <w:vMerge w:val="restart"/>
            <w:vAlign w:val="center"/>
          </w:tcPr>
          <w:p>
            <w:pPr>
              <w:pStyle w:val="16"/>
              <w:autoSpaceDE/>
              <w:autoSpaceDN/>
              <w:spacing w:before="0" w:line="400" w:lineRule="exact"/>
              <w:ind w:left="0"/>
              <w:jc w:val="center"/>
              <w:rPr>
                <w:b/>
                <w:sz w:val="22"/>
              </w:rPr>
            </w:pPr>
            <w:r>
              <w:rPr>
                <w:b/>
                <w:spacing w:val="-1"/>
                <w:sz w:val="22"/>
              </w:rPr>
              <w:t>片区面积</w:t>
            </w:r>
          </w:p>
        </w:tc>
        <w:tc>
          <w:tcPr>
            <w:tcW w:w="2844" w:type="pct"/>
            <w:gridSpan w:val="4"/>
            <w:vAlign w:val="center"/>
          </w:tcPr>
          <w:p>
            <w:pPr>
              <w:pStyle w:val="16"/>
              <w:autoSpaceDE/>
              <w:autoSpaceDN/>
              <w:spacing w:before="0" w:line="400" w:lineRule="exact"/>
              <w:ind w:left="0"/>
              <w:jc w:val="center"/>
              <w:rPr>
                <w:b/>
                <w:sz w:val="22"/>
              </w:rPr>
            </w:pPr>
            <w:r>
              <w:rPr>
                <w:b/>
                <w:sz w:val="22"/>
              </w:rPr>
              <w:t>涉及拟征收地块情况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589" w:type="pct"/>
            <w:vMerge w:val="continue"/>
            <w:tcBorders>
              <w:top w:val="nil"/>
            </w:tcBorders>
            <w:vAlign w:val="center"/>
          </w:tcPr>
          <w:p>
            <w:pPr>
              <w:autoSpaceDE/>
              <w:autoSpaceDN/>
              <w:spacing w:line="400" w:lineRule="exact"/>
              <w:jc w:val="center"/>
              <w:rPr>
                <w:sz w:val="22"/>
                <w:szCs w:val="22"/>
              </w:rPr>
            </w:pPr>
          </w:p>
        </w:tc>
        <w:tc>
          <w:tcPr>
            <w:tcW w:w="757" w:type="pct"/>
            <w:vMerge w:val="continue"/>
            <w:tcBorders>
              <w:top w:val="nil"/>
            </w:tcBorders>
            <w:vAlign w:val="center"/>
          </w:tcPr>
          <w:p>
            <w:pPr>
              <w:autoSpaceDE/>
              <w:autoSpaceDN/>
              <w:spacing w:line="400" w:lineRule="exact"/>
              <w:jc w:val="center"/>
              <w:rPr>
                <w:sz w:val="22"/>
                <w:szCs w:val="22"/>
              </w:rPr>
            </w:pPr>
          </w:p>
        </w:tc>
        <w:tc>
          <w:tcPr>
            <w:tcW w:w="808" w:type="pct"/>
            <w:vMerge w:val="continue"/>
            <w:tcBorders>
              <w:top w:val="nil"/>
            </w:tcBorders>
            <w:vAlign w:val="center"/>
          </w:tcPr>
          <w:p>
            <w:pPr>
              <w:autoSpaceDE/>
              <w:autoSpaceDN/>
              <w:spacing w:line="400" w:lineRule="exact"/>
              <w:jc w:val="center"/>
              <w:rPr>
                <w:sz w:val="22"/>
                <w:szCs w:val="22"/>
              </w:rPr>
            </w:pPr>
          </w:p>
        </w:tc>
        <w:tc>
          <w:tcPr>
            <w:tcW w:w="714" w:type="pct"/>
            <w:vAlign w:val="center"/>
          </w:tcPr>
          <w:p>
            <w:pPr>
              <w:pStyle w:val="16"/>
              <w:autoSpaceDE/>
              <w:autoSpaceDN/>
              <w:spacing w:line="400" w:lineRule="exact"/>
              <w:ind w:left="0"/>
              <w:jc w:val="center"/>
              <w:rPr>
                <w:b/>
                <w:sz w:val="22"/>
              </w:rPr>
            </w:pPr>
            <w:r>
              <w:rPr>
                <w:b/>
                <w:sz w:val="22"/>
              </w:rPr>
              <w:t>项目名称</w:t>
            </w:r>
          </w:p>
        </w:tc>
        <w:tc>
          <w:tcPr>
            <w:tcW w:w="769" w:type="pct"/>
            <w:vAlign w:val="center"/>
          </w:tcPr>
          <w:p>
            <w:pPr>
              <w:pStyle w:val="16"/>
              <w:autoSpaceDE/>
              <w:autoSpaceDN/>
              <w:spacing w:before="0" w:line="400" w:lineRule="exact"/>
              <w:ind w:left="0" w:right="0" w:firstLine="0"/>
              <w:jc w:val="center"/>
              <w:rPr>
                <w:b/>
                <w:sz w:val="22"/>
              </w:rPr>
            </w:pPr>
            <w:r>
              <w:rPr>
                <w:b/>
                <w:sz w:val="22"/>
              </w:rPr>
              <w:t>拟征收</w:t>
            </w:r>
          </w:p>
          <w:p>
            <w:pPr>
              <w:pStyle w:val="16"/>
              <w:autoSpaceDE/>
              <w:autoSpaceDN/>
              <w:spacing w:before="0" w:line="400" w:lineRule="exact"/>
              <w:ind w:left="0" w:right="0" w:firstLine="0"/>
              <w:jc w:val="center"/>
              <w:rPr>
                <w:b/>
                <w:sz w:val="22"/>
              </w:rPr>
            </w:pPr>
            <w:r>
              <w:rPr>
                <w:b/>
                <w:sz w:val="22"/>
              </w:rPr>
              <w:t>地块编号</w:t>
            </w:r>
          </w:p>
        </w:tc>
        <w:tc>
          <w:tcPr>
            <w:tcW w:w="753" w:type="pct"/>
            <w:vAlign w:val="center"/>
          </w:tcPr>
          <w:p>
            <w:pPr>
              <w:pStyle w:val="16"/>
              <w:autoSpaceDE/>
              <w:autoSpaceDN/>
              <w:spacing w:before="0" w:line="400" w:lineRule="exact"/>
              <w:ind w:left="0" w:right="0" w:firstLine="0"/>
              <w:jc w:val="center"/>
              <w:rPr>
                <w:b/>
                <w:sz w:val="22"/>
              </w:rPr>
            </w:pPr>
            <w:r>
              <w:rPr>
                <w:b/>
                <w:sz w:val="22"/>
              </w:rPr>
              <w:t>拟征收</w:t>
            </w:r>
          </w:p>
          <w:p>
            <w:pPr>
              <w:pStyle w:val="16"/>
              <w:autoSpaceDE/>
              <w:autoSpaceDN/>
              <w:spacing w:line="400" w:lineRule="exact"/>
              <w:ind w:left="0"/>
              <w:jc w:val="center"/>
              <w:rPr>
                <w:b/>
                <w:sz w:val="22"/>
              </w:rPr>
            </w:pPr>
            <w:r>
              <w:rPr>
                <w:b/>
                <w:sz w:val="22"/>
              </w:rPr>
              <w:t>地块面积</w:t>
            </w:r>
          </w:p>
        </w:tc>
        <w:tc>
          <w:tcPr>
            <w:tcW w:w="606" w:type="pct"/>
            <w:vAlign w:val="center"/>
          </w:tcPr>
          <w:p>
            <w:pPr>
              <w:pStyle w:val="16"/>
              <w:autoSpaceDE/>
              <w:autoSpaceDN/>
              <w:spacing w:before="0" w:line="400" w:lineRule="exact"/>
              <w:ind w:left="0" w:right="0"/>
              <w:jc w:val="center"/>
              <w:rPr>
                <w:b/>
                <w:spacing w:val="-6"/>
                <w:sz w:val="22"/>
              </w:rPr>
            </w:pPr>
            <w:r>
              <w:rPr>
                <w:b/>
                <w:spacing w:val="-5"/>
                <w:sz w:val="22"/>
              </w:rPr>
              <w:t>拟征收</w:t>
            </w:r>
            <w:r>
              <w:rPr>
                <w:b/>
                <w:spacing w:val="-6"/>
                <w:sz w:val="22"/>
              </w:rPr>
              <w:t>地块</w:t>
            </w:r>
          </w:p>
          <w:p>
            <w:pPr>
              <w:pStyle w:val="16"/>
              <w:autoSpaceDE/>
              <w:autoSpaceDN/>
              <w:spacing w:line="400" w:lineRule="exact"/>
              <w:ind w:left="0"/>
              <w:jc w:val="center"/>
              <w:rPr>
                <w:b/>
                <w:sz w:val="22"/>
              </w:rPr>
            </w:pPr>
            <w:r>
              <w:rPr>
                <w:rFonts w:hint="eastAsia"/>
                <w:b/>
                <w:spacing w:val="-6"/>
                <w:sz w:val="22"/>
                <w:lang w:val="en-US" w:eastAsia="zh-CN"/>
              </w:rPr>
              <w:t>占比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589" w:type="pct"/>
            <w:vMerge w:val="restart"/>
            <w:vAlign w:val="center"/>
          </w:tcPr>
          <w:p>
            <w:pPr>
              <w:pStyle w:val="16"/>
              <w:autoSpaceDE/>
              <w:autoSpaceDN/>
              <w:spacing w:before="0" w:line="400" w:lineRule="exact"/>
              <w:ind w:right="0"/>
              <w:jc w:val="center"/>
              <w:rPr>
                <w:sz w:val="20"/>
                <w:szCs w:val="20"/>
              </w:rPr>
            </w:pPr>
            <w:r>
              <w:rPr>
                <w:rFonts w:hint="eastAsia"/>
                <w:sz w:val="20"/>
                <w:szCs w:val="20"/>
              </w:rPr>
              <w:t>01</w:t>
            </w:r>
          </w:p>
        </w:tc>
        <w:tc>
          <w:tcPr>
            <w:tcW w:w="757" w:type="pct"/>
            <w:vMerge w:val="restart"/>
            <w:vAlign w:val="center"/>
          </w:tcPr>
          <w:p>
            <w:pPr>
              <w:pStyle w:val="16"/>
              <w:autoSpaceDE/>
              <w:autoSpaceDN/>
              <w:spacing w:before="0" w:line="400" w:lineRule="exact"/>
              <w:ind w:left="0"/>
              <w:jc w:val="center"/>
              <w:rPr>
                <w:rFonts w:hint="eastAsia" w:eastAsia="仿宋_GB2312"/>
                <w:sz w:val="20"/>
                <w:szCs w:val="20"/>
                <w:lang w:eastAsia="zh-CN"/>
              </w:rPr>
            </w:pPr>
            <w:r>
              <w:rPr>
                <w:rFonts w:hint="eastAsia"/>
                <w:sz w:val="20"/>
                <w:szCs w:val="20"/>
                <w:lang w:eastAsia="zh-CN"/>
              </w:rPr>
              <w:t>官渡镇片区</w:t>
            </w:r>
          </w:p>
        </w:tc>
        <w:tc>
          <w:tcPr>
            <w:tcW w:w="808" w:type="pct"/>
            <w:vMerge w:val="restart"/>
            <w:vAlign w:val="center"/>
          </w:tcPr>
          <w:p>
            <w:pPr>
              <w:pStyle w:val="16"/>
              <w:autoSpaceDE/>
              <w:autoSpaceDN/>
              <w:spacing w:before="0" w:line="400" w:lineRule="exact"/>
              <w:ind w:left="0" w:right="0"/>
              <w:jc w:val="center"/>
              <w:rPr>
                <w:sz w:val="20"/>
                <w:szCs w:val="20"/>
              </w:rPr>
            </w:pPr>
            <w:r>
              <w:rPr>
                <w:rFonts w:hint="eastAsia"/>
                <w:sz w:val="20"/>
                <w:szCs w:val="20"/>
              </w:rPr>
              <w:t>8.0941</w:t>
            </w:r>
          </w:p>
        </w:tc>
        <w:tc>
          <w:tcPr>
            <w:tcW w:w="714" w:type="pct"/>
            <w:vMerge w:val="restart"/>
            <w:vAlign w:val="center"/>
          </w:tcPr>
          <w:p>
            <w:pPr>
              <w:pStyle w:val="16"/>
              <w:autoSpaceDE/>
              <w:autoSpaceDN/>
              <w:spacing w:before="0" w:line="400" w:lineRule="exact"/>
              <w:ind w:left="0"/>
              <w:jc w:val="center"/>
              <w:rPr>
                <w:rFonts w:hint="eastAsia"/>
                <w:sz w:val="20"/>
                <w:szCs w:val="20"/>
              </w:rPr>
            </w:pPr>
            <w:r>
              <w:rPr>
                <w:rFonts w:hint="eastAsia"/>
                <w:sz w:val="20"/>
                <w:szCs w:val="20"/>
              </w:rPr>
              <w:t>六里环保</w:t>
            </w:r>
          </w:p>
          <w:p>
            <w:pPr>
              <w:pStyle w:val="16"/>
              <w:autoSpaceDE/>
              <w:autoSpaceDN/>
              <w:spacing w:before="0" w:line="400" w:lineRule="exact"/>
              <w:ind w:left="0"/>
              <w:jc w:val="center"/>
              <w:rPr>
                <w:sz w:val="20"/>
                <w:szCs w:val="20"/>
              </w:rPr>
            </w:pPr>
            <w:r>
              <w:rPr>
                <w:rFonts w:hint="eastAsia"/>
                <w:sz w:val="20"/>
                <w:szCs w:val="20"/>
              </w:rPr>
              <w:t>新材料项目</w:t>
            </w:r>
          </w:p>
        </w:tc>
        <w:tc>
          <w:tcPr>
            <w:tcW w:w="769" w:type="pct"/>
            <w:vAlign w:val="center"/>
          </w:tcPr>
          <w:p>
            <w:pPr>
              <w:pStyle w:val="16"/>
              <w:autoSpaceDE/>
              <w:autoSpaceDN/>
              <w:spacing w:before="0" w:line="400" w:lineRule="exact"/>
              <w:ind w:left="0"/>
              <w:jc w:val="center"/>
              <w:rPr>
                <w:sz w:val="20"/>
                <w:szCs w:val="20"/>
              </w:rPr>
            </w:pPr>
            <w:r>
              <w:rPr>
                <w:sz w:val="20"/>
                <w:szCs w:val="20"/>
              </w:rPr>
              <w:t>01</w:t>
            </w:r>
          </w:p>
        </w:tc>
        <w:tc>
          <w:tcPr>
            <w:tcW w:w="753" w:type="pct"/>
            <w:vAlign w:val="center"/>
          </w:tcPr>
          <w:p>
            <w:pPr>
              <w:pStyle w:val="16"/>
              <w:autoSpaceDE/>
              <w:autoSpaceDN/>
              <w:spacing w:before="0" w:line="400" w:lineRule="exact"/>
              <w:ind w:left="0"/>
              <w:jc w:val="center"/>
              <w:rPr>
                <w:sz w:val="20"/>
                <w:szCs w:val="20"/>
              </w:rPr>
            </w:pPr>
            <w:r>
              <w:rPr>
                <w:rFonts w:hint="eastAsia"/>
                <w:sz w:val="20"/>
                <w:szCs w:val="20"/>
              </w:rPr>
              <w:t>0.0209</w:t>
            </w:r>
          </w:p>
        </w:tc>
        <w:tc>
          <w:tcPr>
            <w:tcW w:w="606" w:type="pct"/>
            <w:vAlign w:val="center"/>
          </w:tcPr>
          <w:p>
            <w:pPr>
              <w:widowControl/>
              <w:spacing w:before="84" w:line="400" w:lineRule="exact"/>
              <w:ind w:left="0" w:right="0"/>
              <w:jc w:val="center"/>
              <w:textAlignment w:val="center"/>
              <w:rPr>
                <w:sz w:val="20"/>
                <w:szCs w:val="20"/>
              </w:rPr>
            </w:pPr>
            <w:r>
              <w:rPr>
                <w:rFonts w:hint="eastAsia" w:ascii="仿宋_GB2312" w:hAnsi="宋体" w:eastAsia="仿宋_GB2312" w:cs="仿宋_GB2312"/>
                <w:i w:val="0"/>
                <w:iCs w:val="0"/>
                <w:color w:val="000000"/>
                <w:kern w:val="0"/>
                <w:sz w:val="20"/>
                <w:szCs w:val="20"/>
                <w:u w:val="none"/>
                <w:lang w:val="en-US" w:eastAsia="zh-CN" w:bidi="ar"/>
              </w:rPr>
              <w:t>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1" w:hRule="atLeast"/>
          <w:jc w:val="center"/>
        </w:trPr>
        <w:tc>
          <w:tcPr>
            <w:tcW w:w="589" w:type="pct"/>
            <w:vMerge w:val="continue"/>
            <w:vAlign w:val="center"/>
          </w:tcPr>
          <w:p>
            <w:pPr>
              <w:pStyle w:val="16"/>
              <w:autoSpaceDE/>
              <w:autoSpaceDN/>
              <w:spacing w:before="0" w:line="400" w:lineRule="exact"/>
              <w:ind w:right="0"/>
              <w:jc w:val="center"/>
              <w:rPr>
                <w:rFonts w:hint="eastAsia"/>
                <w:sz w:val="20"/>
                <w:szCs w:val="20"/>
              </w:rPr>
            </w:pPr>
          </w:p>
        </w:tc>
        <w:tc>
          <w:tcPr>
            <w:tcW w:w="757" w:type="pct"/>
            <w:vMerge w:val="continue"/>
            <w:vAlign w:val="center"/>
          </w:tcPr>
          <w:p>
            <w:pPr>
              <w:pStyle w:val="16"/>
              <w:autoSpaceDE/>
              <w:autoSpaceDN/>
              <w:spacing w:before="0" w:line="400" w:lineRule="exact"/>
              <w:ind w:left="0"/>
              <w:jc w:val="center"/>
              <w:rPr>
                <w:rFonts w:hint="eastAsia"/>
                <w:sz w:val="20"/>
                <w:szCs w:val="20"/>
              </w:rPr>
            </w:pPr>
          </w:p>
        </w:tc>
        <w:tc>
          <w:tcPr>
            <w:tcW w:w="808" w:type="pct"/>
            <w:vMerge w:val="continue"/>
            <w:vAlign w:val="center"/>
          </w:tcPr>
          <w:p>
            <w:pPr>
              <w:pStyle w:val="16"/>
              <w:autoSpaceDE/>
              <w:autoSpaceDN/>
              <w:spacing w:before="0" w:line="400" w:lineRule="exact"/>
              <w:ind w:left="0" w:right="0"/>
              <w:jc w:val="center"/>
              <w:rPr>
                <w:rFonts w:hint="eastAsia"/>
                <w:sz w:val="20"/>
                <w:szCs w:val="20"/>
              </w:rPr>
            </w:pPr>
          </w:p>
        </w:tc>
        <w:tc>
          <w:tcPr>
            <w:tcW w:w="714" w:type="pct"/>
            <w:vMerge w:val="continue"/>
            <w:vAlign w:val="center"/>
          </w:tcPr>
          <w:p>
            <w:pPr>
              <w:pStyle w:val="16"/>
              <w:autoSpaceDE/>
              <w:autoSpaceDN/>
              <w:spacing w:before="0" w:line="400" w:lineRule="exact"/>
              <w:ind w:left="0"/>
              <w:jc w:val="center"/>
              <w:rPr>
                <w:sz w:val="20"/>
                <w:szCs w:val="20"/>
              </w:rPr>
            </w:pPr>
          </w:p>
        </w:tc>
        <w:tc>
          <w:tcPr>
            <w:tcW w:w="769" w:type="pct"/>
            <w:vAlign w:val="center"/>
          </w:tcPr>
          <w:p>
            <w:pPr>
              <w:pStyle w:val="16"/>
              <w:autoSpaceDE/>
              <w:autoSpaceDN/>
              <w:spacing w:before="0" w:line="400" w:lineRule="exact"/>
              <w:ind w:left="0"/>
              <w:jc w:val="center"/>
              <w:rPr>
                <w:rFonts w:hint="default" w:eastAsia="仿宋_GB2312"/>
                <w:sz w:val="20"/>
                <w:szCs w:val="20"/>
                <w:lang w:val="en-US" w:eastAsia="zh-CN"/>
              </w:rPr>
            </w:pPr>
            <w:r>
              <w:rPr>
                <w:rFonts w:hint="eastAsia"/>
                <w:sz w:val="20"/>
                <w:szCs w:val="20"/>
                <w:lang w:val="en-US" w:eastAsia="zh-CN"/>
              </w:rPr>
              <w:t>02</w:t>
            </w:r>
          </w:p>
        </w:tc>
        <w:tc>
          <w:tcPr>
            <w:tcW w:w="753" w:type="pct"/>
            <w:vAlign w:val="center"/>
          </w:tcPr>
          <w:p>
            <w:pPr>
              <w:pStyle w:val="16"/>
              <w:autoSpaceDE/>
              <w:autoSpaceDN/>
              <w:spacing w:before="0" w:line="400" w:lineRule="exact"/>
              <w:ind w:left="0"/>
              <w:jc w:val="center"/>
              <w:rPr>
                <w:sz w:val="20"/>
                <w:szCs w:val="20"/>
              </w:rPr>
            </w:pPr>
            <w:r>
              <w:rPr>
                <w:rFonts w:hint="eastAsia"/>
                <w:sz w:val="20"/>
                <w:szCs w:val="20"/>
              </w:rPr>
              <w:t>5.3568</w:t>
            </w:r>
          </w:p>
        </w:tc>
        <w:tc>
          <w:tcPr>
            <w:tcW w:w="606" w:type="pct"/>
            <w:vAlign w:val="center"/>
          </w:tcPr>
          <w:p>
            <w:pPr>
              <w:keepNext w:val="0"/>
              <w:keepLines w:val="0"/>
              <w:widowControl/>
              <w:suppressLineNumbers w:val="0"/>
              <w:spacing w:line="400" w:lineRule="exact"/>
              <w:ind w:left="0" w:leftChars="0" w:right="0" w:rightChars="0"/>
              <w:jc w:val="center"/>
              <w:textAlignment w:val="center"/>
              <w:rPr>
                <w:sz w:val="20"/>
                <w:szCs w:val="20"/>
              </w:rPr>
            </w:pPr>
            <w:r>
              <w:rPr>
                <w:rFonts w:hint="eastAsia" w:ascii="仿宋_GB2312" w:hAnsi="宋体" w:eastAsia="仿宋_GB2312" w:cs="仿宋_GB2312"/>
                <w:i w:val="0"/>
                <w:iCs w:val="0"/>
                <w:color w:val="000000"/>
                <w:kern w:val="0"/>
                <w:sz w:val="20"/>
                <w:szCs w:val="20"/>
                <w:u w:val="none"/>
                <w:lang w:val="en-US" w:eastAsia="zh-CN" w:bidi="ar"/>
              </w:rPr>
              <w:t>46.84%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89" w:type="pct"/>
            <w:vMerge w:val="restart"/>
            <w:vAlign w:val="center"/>
          </w:tcPr>
          <w:p>
            <w:pPr>
              <w:pStyle w:val="16"/>
              <w:autoSpaceDE/>
              <w:autoSpaceDN/>
              <w:spacing w:before="0" w:line="400" w:lineRule="exact"/>
              <w:ind w:right="0"/>
              <w:jc w:val="center"/>
              <w:rPr>
                <w:sz w:val="20"/>
                <w:szCs w:val="20"/>
              </w:rPr>
            </w:pPr>
            <w:r>
              <w:rPr>
                <w:rFonts w:hint="eastAsia"/>
                <w:sz w:val="20"/>
                <w:szCs w:val="20"/>
              </w:rPr>
              <w:t>02</w:t>
            </w:r>
          </w:p>
        </w:tc>
        <w:tc>
          <w:tcPr>
            <w:tcW w:w="757" w:type="pct"/>
            <w:vMerge w:val="restart"/>
            <w:vAlign w:val="center"/>
          </w:tcPr>
          <w:p>
            <w:pPr>
              <w:pStyle w:val="16"/>
              <w:autoSpaceDE/>
              <w:autoSpaceDN/>
              <w:spacing w:before="0" w:line="400" w:lineRule="exact"/>
              <w:ind w:left="0"/>
              <w:jc w:val="center"/>
              <w:rPr>
                <w:rFonts w:hint="eastAsia" w:eastAsia="仿宋_GB2312"/>
                <w:sz w:val="20"/>
                <w:szCs w:val="20"/>
                <w:lang w:eastAsia="zh-CN"/>
              </w:rPr>
            </w:pPr>
            <w:r>
              <w:rPr>
                <w:rFonts w:hint="eastAsia"/>
                <w:sz w:val="20"/>
                <w:szCs w:val="20"/>
                <w:lang w:eastAsia="zh-CN"/>
              </w:rPr>
              <w:t>龙仙镇片区</w:t>
            </w:r>
          </w:p>
        </w:tc>
        <w:tc>
          <w:tcPr>
            <w:tcW w:w="808" w:type="pct"/>
            <w:vMerge w:val="restart"/>
            <w:vAlign w:val="center"/>
          </w:tcPr>
          <w:p>
            <w:pPr>
              <w:pStyle w:val="16"/>
              <w:autoSpaceDE/>
              <w:autoSpaceDN/>
              <w:spacing w:before="0" w:line="400" w:lineRule="exact"/>
              <w:ind w:left="0" w:right="0"/>
              <w:jc w:val="center"/>
              <w:rPr>
                <w:sz w:val="20"/>
                <w:szCs w:val="20"/>
              </w:rPr>
            </w:pPr>
            <w:r>
              <w:rPr>
                <w:rFonts w:hint="eastAsia" w:eastAsia="仿宋"/>
                <w:sz w:val="20"/>
                <w:szCs w:val="20"/>
              </w:rPr>
              <w:t>3.3429</w:t>
            </w:r>
          </w:p>
        </w:tc>
        <w:tc>
          <w:tcPr>
            <w:tcW w:w="714" w:type="pct"/>
            <w:vMerge w:val="restart"/>
            <w:vAlign w:val="center"/>
          </w:tcPr>
          <w:p>
            <w:pPr>
              <w:pStyle w:val="16"/>
              <w:autoSpaceDE/>
              <w:autoSpaceDN/>
              <w:spacing w:before="0" w:line="400" w:lineRule="exact"/>
              <w:ind w:left="0"/>
              <w:jc w:val="center"/>
              <w:rPr>
                <w:sz w:val="20"/>
                <w:szCs w:val="20"/>
              </w:rPr>
            </w:pPr>
            <w:r>
              <w:rPr>
                <w:rFonts w:hint="eastAsia"/>
                <w:sz w:val="20"/>
                <w:szCs w:val="20"/>
              </w:rPr>
              <w:t>东华酒店项目</w:t>
            </w:r>
          </w:p>
        </w:tc>
        <w:tc>
          <w:tcPr>
            <w:tcW w:w="769" w:type="pct"/>
            <w:vAlign w:val="center"/>
          </w:tcPr>
          <w:p>
            <w:pPr>
              <w:pStyle w:val="16"/>
              <w:autoSpaceDE/>
              <w:autoSpaceDN/>
              <w:spacing w:before="0" w:line="400" w:lineRule="exact"/>
              <w:ind w:left="0"/>
              <w:jc w:val="center"/>
              <w:rPr>
                <w:rFonts w:hint="default" w:eastAsia="仿宋_GB2312"/>
                <w:sz w:val="20"/>
                <w:szCs w:val="20"/>
                <w:lang w:val="en-US" w:eastAsia="zh-CN"/>
              </w:rPr>
            </w:pPr>
            <w:r>
              <w:rPr>
                <w:rFonts w:hint="eastAsia"/>
                <w:sz w:val="20"/>
                <w:szCs w:val="20"/>
                <w:lang w:val="en-US" w:eastAsia="zh-CN"/>
              </w:rPr>
              <w:t>03</w:t>
            </w:r>
          </w:p>
        </w:tc>
        <w:tc>
          <w:tcPr>
            <w:tcW w:w="753" w:type="pct"/>
            <w:vAlign w:val="center"/>
          </w:tcPr>
          <w:p>
            <w:pPr>
              <w:pStyle w:val="16"/>
              <w:autoSpaceDE/>
              <w:autoSpaceDN/>
              <w:spacing w:before="0" w:line="400" w:lineRule="exact"/>
              <w:ind w:left="0"/>
              <w:jc w:val="center"/>
              <w:rPr>
                <w:sz w:val="20"/>
                <w:szCs w:val="20"/>
              </w:rPr>
            </w:pPr>
            <w:r>
              <w:rPr>
                <w:rFonts w:hint="eastAsia"/>
                <w:sz w:val="20"/>
                <w:szCs w:val="20"/>
              </w:rPr>
              <w:t>0.0115</w:t>
            </w:r>
          </w:p>
        </w:tc>
        <w:tc>
          <w:tcPr>
            <w:tcW w:w="606" w:type="pct"/>
            <w:vAlign w:val="center"/>
          </w:tcPr>
          <w:p>
            <w:pPr>
              <w:widowControl/>
              <w:spacing w:before="29" w:line="400" w:lineRule="exact"/>
              <w:ind w:left="0" w:right="0"/>
              <w:jc w:val="center"/>
              <w:textAlignment w:val="center"/>
              <w:rPr>
                <w:sz w:val="20"/>
                <w:szCs w:val="20"/>
              </w:rPr>
            </w:pPr>
            <w:r>
              <w:rPr>
                <w:rFonts w:hint="eastAsia" w:ascii="仿宋_GB2312" w:hAnsi="宋体" w:eastAsia="仿宋_GB2312" w:cs="仿宋_GB2312"/>
                <w:i w:val="0"/>
                <w:iCs w:val="0"/>
                <w:color w:val="000000"/>
                <w:kern w:val="0"/>
                <w:sz w:val="20"/>
                <w:szCs w:val="20"/>
                <w:u w:val="none"/>
                <w:lang w:val="en-US" w:eastAsia="zh-CN" w:bidi="ar"/>
              </w:rPr>
              <w:t>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589" w:type="pct"/>
            <w:vMerge w:val="continue"/>
            <w:vAlign w:val="center"/>
          </w:tcPr>
          <w:p>
            <w:pPr>
              <w:pStyle w:val="16"/>
              <w:autoSpaceDE/>
              <w:autoSpaceDN/>
              <w:spacing w:before="0" w:line="400" w:lineRule="exact"/>
              <w:ind w:right="0"/>
              <w:jc w:val="center"/>
              <w:rPr>
                <w:rFonts w:hint="eastAsia"/>
                <w:sz w:val="20"/>
                <w:szCs w:val="20"/>
              </w:rPr>
            </w:pPr>
          </w:p>
        </w:tc>
        <w:tc>
          <w:tcPr>
            <w:tcW w:w="757" w:type="pct"/>
            <w:vMerge w:val="continue"/>
            <w:vAlign w:val="center"/>
          </w:tcPr>
          <w:p>
            <w:pPr>
              <w:pStyle w:val="16"/>
              <w:autoSpaceDE/>
              <w:autoSpaceDN/>
              <w:spacing w:before="0" w:line="400" w:lineRule="exact"/>
              <w:ind w:left="0"/>
              <w:jc w:val="center"/>
              <w:rPr>
                <w:rFonts w:hint="eastAsia"/>
                <w:sz w:val="20"/>
                <w:szCs w:val="20"/>
              </w:rPr>
            </w:pPr>
          </w:p>
        </w:tc>
        <w:tc>
          <w:tcPr>
            <w:tcW w:w="808" w:type="pct"/>
            <w:vMerge w:val="continue"/>
            <w:vAlign w:val="center"/>
          </w:tcPr>
          <w:p>
            <w:pPr>
              <w:pStyle w:val="16"/>
              <w:autoSpaceDE/>
              <w:autoSpaceDN/>
              <w:spacing w:before="0" w:line="400" w:lineRule="exact"/>
              <w:ind w:left="0" w:right="0"/>
              <w:jc w:val="center"/>
              <w:rPr>
                <w:rFonts w:hint="eastAsia" w:eastAsia="仿宋"/>
                <w:sz w:val="20"/>
                <w:szCs w:val="20"/>
              </w:rPr>
            </w:pPr>
          </w:p>
        </w:tc>
        <w:tc>
          <w:tcPr>
            <w:tcW w:w="714" w:type="pct"/>
            <w:vMerge w:val="continue"/>
            <w:vAlign w:val="center"/>
          </w:tcPr>
          <w:p>
            <w:pPr>
              <w:pStyle w:val="16"/>
              <w:autoSpaceDE/>
              <w:autoSpaceDN/>
              <w:spacing w:before="0" w:line="400" w:lineRule="exact"/>
              <w:ind w:left="0"/>
              <w:jc w:val="center"/>
              <w:rPr>
                <w:sz w:val="20"/>
                <w:szCs w:val="20"/>
              </w:rPr>
            </w:pPr>
          </w:p>
        </w:tc>
        <w:tc>
          <w:tcPr>
            <w:tcW w:w="769" w:type="pct"/>
            <w:vAlign w:val="center"/>
          </w:tcPr>
          <w:p>
            <w:pPr>
              <w:pStyle w:val="16"/>
              <w:autoSpaceDE/>
              <w:autoSpaceDN/>
              <w:spacing w:before="0" w:line="400" w:lineRule="exact"/>
              <w:ind w:left="0"/>
              <w:jc w:val="center"/>
              <w:rPr>
                <w:rFonts w:hint="default" w:eastAsia="仿宋_GB2312"/>
                <w:sz w:val="20"/>
                <w:szCs w:val="20"/>
                <w:lang w:val="en-US" w:eastAsia="zh-CN"/>
              </w:rPr>
            </w:pPr>
            <w:r>
              <w:rPr>
                <w:rFonts w:hint="eastAsia"/>
                <w:sz w:val="20"/>
                <w:szCs w:val="20"/>
                <w:lang w:val="en-US" w:eastAsia="zh-CN"/>
              </w:rPr>
              <w:t>04</w:t>
            </w:r>
          </w:p>
        </w:tc>
        <w:tc>
          <w:tcPr>
            <w:tcW w:w="753" w:type="pct"/>
            <w:vAlign w:val="center"/>
          </w:tcPr>
          <w:p>
            <w:pPr>
              <w:pStyle w:val="16"/>
              <w:autoSpaceDE/>
              <w:autoSpaceDN/>
              <w:spacing w:before="0" w:line="400" w:lineRule="exact"/>
              <w:ind w:left="0"/>
              <w:jc w:val="center"/>
              <w:rPr>
                <w:sz w:val="20"/>
                <w:szCs w:val="20"/>
              </w:rPr>
            </w:pPr>
            <w:r>
              <w:rPr>
                <w:rFonts w:hint="eastAsia"/>
                <w:sz w:val="20"/>
                <w:szCs w:val="20"/>
              </w:rPr>
              <w:t>2.1139</w:t>
            </w:r>
          </w:p>
        </w:tc>
        <w:tc>
          <w:tcPr>
            <w:tcW w:w="606" w:type="pct"/>
            <w:vAlign w:val="center"/>
          </w:tcPr>
          <w:p>
            <w:pPr>
              <w:keepNext w:val="0"/>
              <w:keepLines w:val="0"/>
              <w:widowControl/>
              <w:suppressLineNumbers w:val="0"/>
              <w:spacing w:line="400" w:lineRule="exact"/>
              <w:ind w:left="0" w:leftChars="0" w:right="0" w:rightChars="0"/>
              <w:jc w:val="center"/>
              <w:textAlignment w:val="center"/>
              <w:rPr>
                <w:sz w:val="20"/>
                <w:szCs w:val="20"/>
              </w:rPr>
            </w:pPr>
            <w:r>
              <w:rPr>
                <w:rFonts w:hint="eastAsia" w:ascii="仿宋_GB2312" w:hAnsi="宋体" w:eastAsia="仿宋_GB2312" w:cs="仿宋_GB2312"/>
                <w:i w:val="0"/>
                <w:iCs w:val="0"/>
                <w:color w:val="000000"/>
                <w:kern w:val="0"/>
                <w:sz w:val="20"/>
                <w:szCs w:val="20"/>
                <w:u w:val="none"/>
                <w:lang w:val="en-US" w:eastAsia="zh-CN" w:bidi="ar"/>
              </w:rPr>
              <w:t>18.48%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1347" w:type="pct"/>
            <w:gridSpan w:val="2"/>
            <w:vAlign w:val="center"/>
          </w:tcPr>
          <w:p>
            <w:pPr>
              <w:pStyle w:val="16"/>
              <w:autoSpaceDE/>
              <w:autoSpaceDN/>
              <w:spacing w:before="0" w:line="400" w:lineRule="exact"/>
              <w:ind w:left="0" w:right="0"/>
              <w:jc w:val="center"/>
              <w:rPr>
                <w:b/>
                <w:bCs/>
                <w:sz w:val="22"/>
              </w:rPr>
            </w:pPr>
            <w:r>
              <w:rPr>
                <w:b/>
                <w:bCs/>
                <w:sz w:val="22"/>
              </w:rPr>
              <w:t>总计</w:t>
            </w:r>
          </w:p>
        </w:tc>
        <w:tc>
          <w:tcPr>
            <w:tcW w:w="808" w:type="pct"/>
            <w:vAlign w:val="center"/>
          </w:tcPr>
          <w:p>
            <w:pPr>
              <w:pStyle w:val="16"/>
              <w:autoSpaceDE/>
              <w:autoSpaceDN/>
              <w:spacing w:before="0" w:line="400" w:lineRule="exact"/>
              <w:ind w:left="0" w:right="0"/>
              <w:jc w:val="center"/>
              <w:rPr>
                <w:b/>
                <w:bCs/>
                <w:sz w:val="22"/>
              </w:rPr>
            </w:pPr>
            <w:r>
              <w:rPr>
                <w:rFonts w:hint="eastAsia" w:cs="仿宋_GB2312"/>
                <w:b/>
                <w:bCs/>
              </w:rPr>
              <w:t>11.4370</w:t>
            </w:r>
          </w:p>
        </w:tc>
        <w:tc>
          <w:tcPr>
            <w:tcW w:w="1484" w:type="pct"/>
            <w:gridSpan w:val="2"/>
            <w:vAlign w:val="center"/>
          </w:tcPr>
          <w:p>
            <w:pPr>
              <w:pStyle w:val="16"/>
              <w:autoSpaceDE/>
              <w:autoSpaceDN/>
              <w:spacing w:before="0" w:line="400" w:lineRule="exact"/>
              <w:ind w:left="0" w:right="0"/>
              <w:jc w:val="center"/>
              <w:rPr>
                <w:b/>
                <w:bCs/>
                <w:sz w:val="22"/>
              </w:rPr>
            </w:pPr>
            <w:r>
              <w:rPr>
                <w:b/>
                <w:bCs/>
                <w:sz w:val="22"/>
              </w:rPr>
              <w:t>总计</w:t>
            </w:r>
          </w:p>
        </w:tc>
        <w:tc>
          <w:tcPr>
            <w:tcW w:w="753" w:type="pct"/>
            <w:vAlign w:val="center"/>
          </w:tcPr>
          <w:p>
            <w:pPr>
              <w:pStyle w:val="16"/>
              <w:autoSpaceDE/>
              <w:autoSpaceDN/>
              <w:spacing w:before="0" w:line="400" w:lineRule="exact"/>
              <w:ind w:left="0"/>
              <w:jc w:val="center"/>
              <w:rPr>
                <w:b/>
                <w:bCs/>
                <w:sz w:val="22"/>
              </w:rPr>
            </w:pPr>
            <w:r>
              <w:rPr>
                <w:rFonts w:hint="eastAsia" w:cs="仿宋_GB2312"/>
                <w:b/>
                <w:bCs/>
              </w:rPr>
              <w:t>7.5031</w:t>
            </w:r>
          </w:p>
        </w:tc>
        <w:tc>
          <w:tcPr>
            <w:tcW w:w="606" w:type="pct"/>
            <w:vAlign w:val="center"/>
          </w:tcPr>
          <w:p>
            <w:pPr>
              <w:pStyle w:val="16"/>
              <w:autoSpaceDE/>
              <w:autoSpaceDN/>
              <w:spacing w:before="0" w:line="400" w:lineRule="exact"/>
              <w:ind w:left="0" w:right="0"/>
              <w:jc w:val="center"/>
              <w:rPr>
                <w:b/>
                <w:bCs/>
                <w:sz w:val="22"/>
              </w:rPr>
            </w:pPr>
            <w:r>
              <w:rPr>
                <w:rFonts w:hint="eastAsia"/>
                <w:b/>
                <w:bCs/>
                <w:sz w:val="22"/>
                <w:lang w:eastAsia="zh-CN"/>
              </w:rPr>
              <w:t>65.60</w:t>
            </w:r>
            <w:r>
              <w:rPr>
                <w:rFonts w:hint="eastAsia"/>
                <w:b/>
                <w:bCs/>
                <w:sz w:val="22"/>
              </w:rPr>
              <w:t>%</w:t>
            </w:r>
          </w:p>
        </w:tc>
      </w:tr>
    </w:tbl>
    <w:p>
      <w:pPr>
        <w:pStyle w:val="2"/>
        <w:autoSpaceDE/>
        <w:autoSpaceDN/>
        <w:spacing w:line="560" w:lineRule="exact"/>
        <w:ind w:right="0" w:firstLine="640" w:firstLineChars="200"/>
        <w:jc w:val="both"/>
        <w:rPr>
          <w:rFonts w:hint="eastAsia" w:ascii="黑体" w:hAnsi="黑体" w:eastAsia="黑体" w:cs="黑体"/>
          <w:b w:val="0"/>
          <w:bCs w:val="0"/>
          <w:szCs w:val="32"/>
        </w:rPr>
      </w:pPr>
      <w:r>
        <w:rPr>
          <w:rFonts w:hint="eastAsia" w:ascii="黑体" w:hAnsi="黑体" w:eastAsia="黑体" w:cs="黑体"/>
          <w:b w:val="0"/>
          <w:bCs w:val="0"/>
          <w:szCs w:val="32"/>
        </w:rPr>
        <w:t>成片开发条件分析</w:t>
      </w:r>
    </w:p>
    <w:p>
      <w:pPr>
        <w:pStyle w:val="3"/>
        <w:rPr>
          <w:rFonts w:hint="eastAsia"/>
          <w:b w:val="0"/>
          <w:sz w:val="32"/>
        </w:rPr>
      </w:pPr>
      <w:r>
        <w:rPr>
          <w:rFonts w:hint="eastAsia"/>
          <w:b w:val="0"/>
          <w:sz w:val="32"/>
        </w:rPr>
        <w:t>必要性分析</w:t>
      </w:r>
    </w:p>
    <w:p>
      <w:pPr>
        <w:pStyle w:val="11"/>
        <w:numPr>
          <w:ilvl w:val="0"/>
          <w:numId w:val="2"/>
        </w:numPr>
        <w:adjustRightInd/>
        <w:ind w:firstLine="602" w:firstLineChars="200"/>
        <w:rPr>
          <w:rFonts w:hint="eastAsia" w:ascii="仿宋_GB2312" w:eastAsia="仿宋_GB2312"/>
          <w:b/>
          <w:sz w:val="30"/>
          <w:szCs w:val="30"/>
        </w:rPr>
      </w:pPr>
      <w:r>
        <w:rPr>
          <w:rFonts w:hint="eastAsia" w:ascii="仿宋_GB2312" w:eastAsia="仿宋_GB2312"/>
          <w:b/>
          <w:sz w:val="30"/>
          <w:szCs w:val="30"/>
        </w:rPr>
        <w:t>是加快经济结构优化，提升绿色工业发展水平的任务</w:t>
      </w:r>
    </w:p>
    <w:p>
      <w:pPr>
        <w:pStyle w:val="11"/>
        <w:adjustRightInd/>
        <w:spacing w:before="0" w:line="560" w:lineRule="exact"/>
        <w:ind w:left="0" w:right="0" w:firstLine="562"/>
      </w:pPr>
      <w:r>
        <w:rPr>
          <w:rFonts w:hint="default" w:ascii="仿宋_GB2312" w:eastAsia="仿宋_GB2312"/>
        </w:rPr>
        <w:t>根据</w:t>
      </w:r>
      <w:r>
        <w:rPr>
          <w:rFonts w:hint="eastAsia"/>
        </w:rPr>
        <w:t>《</w:t>
      </w:r>
      <w:r>
        <w:rPr>
          <w:rFonts w:hint="default"/>
        </w:rPr>
        <w:t>翁源县国民经济和社会发展第十四个五年规划和二〇三五年远景目标纲要</w:t>
      </w:r>
      <w:r>
        <w:rPr>
          <w:rFonts w:hint="eastAsia"/>
        </w:rPr>
        <w:t>》要求，要全面提升翁源工业化水平、质量、效益，加快构建现代化工业体系，不断培育创新发展新优势。坚持把绿色工业作为经济工作的重中之重来抓，推进传统优势产业转型升级，大力发展战略性新兴产业，严格执行产业准入负面清单制度，坚定不移发展绿色工业。</w:t>
      </w:r>
    </w:p>
    <w:p>
      <w:pPr>
        <w:pStyle w:val="11"/>
        <w:adjustRightInd/>
        <w:spacing w:line="560" w:lineRule="exact"/>
        <w:ind w:left="0" w:right="0" w:firstLine="562"/>
      </w:pPr>
      <w:r>
        <w:rPr>
          <w:rFonts w:hint="eastAsia"/>
          <w:lang w:eastAsia="zh-CN"/>
        </w:rPr>
        <w:t>官渡镇片区</w:t>
      </w:r>
      <w:r>
        <w:rPr>
          <w:rFonts w:hint="eastAsia"/>
        </w:rPr>
        <w:t>的发展建设，有利于推进传统优势产业转型升级，大力发展战略性新兴产业，培育生物医药、先进电子、电源、新材料等一批优势产业集群，增强工业经济活力</w:t>
      </w:r>
      <w:r>
        <w:rPr>
          <w:spacing w:val="0"/>
        </w:rPr>
        <w:t>。</w:t>
      </w:r>
    </w:p>
    <w:p>
      <w:pPr>
        <w:pStyle w:val="11"/>
        <w:numPr>
          <w:ilvl w:val="0"/>
          <w:numId w:val="2"/>
        </w:numPr>
        <w:adjustRightInd/>
        <w:ind w:left="0" w:firstLine="602" w:firstLineChars="200"/>
        <w:jc w:val="left"/>
        <w:rPr>
          <w:rFonts w:hint="eastAsia" w:ascii="仿宋_GB2312" w:hAnsi="仿宋_GB2312" w:eastAsia="仿宋_GB2312"/>
          <w:b/>
          <w:sz w:val="30"/>
          <w:szCs w:val="30"/>
        </w:rPr>
      </w:pPr>
      <w:r>
        <w:rPr>
          <w:rFonts w:hint="eastAsia" w:ascii="仿宋_GB2312" w:hAnsi="仿宋_GB2312" w:eastAsia="仿宋_GB2312"/>
          <w:b/>
          <w:sz w:val="30"/>
          <w:szCs w:val="30"/>
        </w:rPr>
        <w:t>是促进全域旅游发展进而推动经济社会发展的重要抓手</w:t>
      </w:r>
    </w:p>
    <w:p>
      <w:pPr>
        <w:pStyle w:val="11"/>
        <w:adjustRightInd/>
        <w:spacing w:before="0" w:line="560" w:lineRule="exact"/>
        <w:ind w:left="0" w:right="0" w:firstLine="562"/>
        <w:rPr>
          <w:rFonts w:hint="eastAsia"/>
        </w:rPr>
      </w:pPr>
      <w:r>
        <w:rPr>
          <w:rFonts w:hint="eastAsia"/>
        </w:rPr>
        <w:t>根据《翁源县国民经济和社会发展第十四个五年规划和二〇三五年远景目标纲要》要求，要按照“做强旅游景区、做活城镇旅游、做特乡村旅游”的发展思路，推动全域旅游战略布局。重点建设东华山风景区、兰花特色小镇、岭南书堂文化艺术小镇、半溪旅游度假区等若干个旅游圈，打造东华山风景区、广东万威达研学部落文旅城项目、江尾农耕文化园、湖心坝客家群楼、兰花特色小镇、岭南书堂文化旅游小镇、嘉华康养小镇、兰心国际康养小镇等八大品牌旅游景点。加快完善旅游配套设施建设，大力推进旅游驿站建设，培育引进一批星级酒店，发展精品民宿。</w:t>
      </w:r>
    </w:p>
    <w:p>
      <w:pPr>
        <w:pStyle w:val="11"/>
        <w:spacing w:before="0"/>
        <w:ind w:firstLine="562"/>
        <w:rPr>
          <w:sz w:val="29"/>
        </w:rPr>
      </w:pPr>
      <w:r>
        <w:rPr>
          <w:rFonts w:hint="eastAsia"/>
        </w:rPr>
        <w:t>推进</w:t>
      </w:r>
      <w:r>
        <w:rPr>
          <w:rFonts w:hint="eastAsia"/>
          <w:lang w:eastAsia="zh-CN"/>
        </w:rPr>
        <w:t>龙仙镇片区</w:t>
      </w:r>
      <w:r>
        <w:rPr>
          <w:rFonts w:hint="eastAsia"/>
        </w:rPr>
        <w:t>的建设，有利于统筹整合县域旅游优势资源，提升东华山景区品质、接待能力，完善旅游基础设施和公共服务水平，充分对接好粤港澳大湾区和周边地区对休闲度假和特色旅游的市场需求。</w:t>
      </w:r>
    </w:p>
    <w:p>
      <w:pPr>
        <w:pStyle w:val="3"/>
        <w:spacing w:before="3"/>
        <w:ind w:firstLine="800"/>
        <w:rPr>
          <w:b/>
        </w:rPr>
      </w:pPr>
      <w:bookmarkStart w:id="2" w:name="（二）合规性分析"/>
      <w:bookmarkEnd w:id="2"/>
      <w:r>
        <w:rPr>
          <w:rFonts w:hint="eastAsia"/>
        </w:rPr>
        <w:t>合规性分析</w:t>
      </w:r>
    </w:p>
    <w:p>
      <w:pPr>
        <w:pStyle w:val="11"/>
        <w:spacing w:line="560" w:lineRule="exact"/>
        <w:ind w:left="0" w:right="0" w:firstLine="619"/>
        <w:jc w:val="both"/>
      </w:pPr>
      <w:r>
        <w:rPr>
          <w:rFonts w:hint="eastAsia"/>
          <w:lang w:val="en-US" w:eastAsia="zh-CN"/>
        </w:rPr>
        <w:t>本方案</w:t>
      </w:r>
      <w:r>
        <w:t>成片开发地块不涉及永久基本农田和生态保护红线</w:t>
      </w:r>
      <w:r>
        <w:rPr>
          <w:rFonts w:hint="eastAsia"/>
          <w:lang w:eastAsia="zh-CN"/>
        </w:rPr>
        <w:t>。官渡镇片区</w:t>
      </w:r>
      <w:r>
        <w:rPr>
          <w:rFonts w:hint="eastAsia"/>
        </w:rPr>
        <w:t>公益性用地</w:t>
      </w:r>
      <w:r>
        <w:rPr>
          <w:rFonts w:hint="eastAsia"/>
          <w:lang w:val="en-US" w:eastAsia="zh-CN"/>
        </w:rPr>
        <w:t>占比</w:t>
      </w:r>
      <w:r>
        <w:rPr>
          <w:rFonts w:hint="eastAsia"/>
        </w:rPr>
        <w:t>33.22%；</w:t>
      </w:r>
      <w:r>
        <w:rPr>
          <w:rFonts w:hint="eastAsia"/>
          <w:lang w:eastAsia="zh-CN"/>
        </w:rPr>
        <w:t>龙仙镇片区</w:t>
      </w:r>
      <w:r>
        <w:rPr>
          <w:rFonts w:hint="eastAsia"/>
        </w:rPr>
        <w:t>公益性用地</w:t>
      </w:r>
      <w:r>
        <w:rPr>
          <w:rFonts w:hint="eastAsia"/>
          <w:lang w:val="en-US" w:eastAsia="zh-CN"/>
        </w:rPr>
        <w:t>占比</w:t>
      </w:r>
      <w:r>
        <w:rPr>
          <w:rFonts w:hint="eastAsia"/>
        </w:rPr>
        <w:t>37.02%，均符合《广东省自然资源厅关于进一步规范土地征收成片开发工作的通知》（粤自然资规字〔2024〕7号）规定规定要求。</w:t>
      </w:r>
      <w:r>
        <w:rPr>
          <w:rFonts w:hint="eastAsia"/>
          <w:lang w:val="en-US" w:eastAsia="zh-CN"/>
        </w:rPr>
        <w:t>本方案</w:t>
      </w:r>
      <w:r>
        <w:t>符合国民经济和社会发展规划、国土空间总体规划和专项规划，做到了保护耕地、节约集约用地、保护生态环境，能够促进经济社会可持续发展。</w:t>
      </w:r>
    </w:p>
    <w:p>
      <w:pPr>
        <w:pStyle w:val="11"/>
        <w:spacing w:line="560" w:lineRule="exact"/>
        <w:ind w:left="0" w:right="0" w:firstLine="619"/>
        <w:jc w:val="both"/>
      </w:pPr>
    </w:p>
    <w:p>
      <w:pPr>
        <w:pStyle w:val="2"/>
        <w:autoSpaceDE/>
        <w:autoSpaceDN/>
        <w:spacing w:before="153" w:line="560" w:lineRule="exact"/>
        <w:ind w:right="0" w:firstLine="640" w:firstLineChars="200"/>
        <w:jc w:val="both"/>
        <w:rPr>
          <w:rFonts w:hint="eastAsia" w:ascii="黑体" w:hAnsi="黑体" w:eastAsia="黑体" w:cs="黑体"/>
          <w:b w:val="0"/>
          <w:bCs w:val="0"/>
          <w:sz w:val="32"/>
          <w:szCs w:val="32"/>
        </w:rPr>
      </w:pPr>
      <w:bookmarkStart w:id="3" w:name="四、拟安排项目及实施计划"/>
      <w:bookmarkEnd w:id="3"/>
      <w:r>
        <w:rPr>
          <w:rFonts w:hint="eastAsia" w:ascii="黑体" w:hAnsi="黑体" w:eastAsia="黑体" w:cs="黑体"/>
          <w:b w:val="0"/>
          <w:bCs w:val="0"/>
          <w:sz w:val="32"/>
          <w:szCs w:val="32"/>
        </w:rPr>
        <w:t>拟安排项目及实施计划</w:t>
      </w:r>
    </w:p>
    <w:p>
      <w:pPr>
        <w:pStyle w:val="11"/>
        <w:spacing w:before="0"/>
        <w:ind w:left="0" w:firstLine="619"/>
      </w:pPr>
      <w:r>
        <w:rPr>
          <w:spacing w:val="-7"/>
        </w:rPr>
        <w:t>本方案拟安排实施项目面积</w:t>
      </w:r>
      <w:r>
        <w:rPr>
          <w:rFonts w:hint="eastAsia"/>
          <w:spacing w:val="-7"/>
        </w:rPr>
        <w:t>11.437</w:t>
      </w:r>
      <w:r>
        <w:rPr>
          <w:rFonts w:hint="eastAsia"/>
          <w:spacing w:val="-7"/>
          <w:lang w:val="en-US" w:eastAsia="zh-CN"/>
        </w:rPr>
        <w:t>0</w:t>
      </w:r>
      <w:r>
        <w:rPr>
          <w:spacing w:val="-17"/>
        </w:rPr>
        <w:t>公顷，结合规划建设</w:t>
      </w:r>
      <w:r>
        <w:rPr>
          <w:spacing w:val="-8"/>
        </w:rPr>
        <w:t>计划、被征地单位意愿、征地资金情况、土地审批信息情况等</w:t>
      </w:r>
      <w:r>
        <w:rPr>
          <w:spacing w:val="11"/>
        </w:rPr>
        <w:t>因素，综合分析论证后制定拟建项目开发时序为</w:t>
      </w:r>
      <w:r>
        <w:t>2026</w:t>
      </w:r>
      <w:r>
        <w:rPr>
          <w:spacing w:val="-16"/>
        </w:rPr>
        <w:t>年</w:t>
      </w:r>
      <w:r>
        <w:rPr>
          <w:rFonts w:hint="eastAsia"/>
          <w:spacing w:val="-16"/>
          <w:lang w:val="en-US" w:eastAsia="zh-CN"/>
        </w:rPr>
        <w:t>和</w:t>
      </w:r>
      <w:r>
        <w:t>2028年。</w:t>
      </w:r>
    </w:p>
    <w:p>
      <w:pPr>
        <w:spacing w:before="0" w:line="560" w:lineRule="exact"/>
        <w:ind w:left="0" w:right="0" w:firstLine="0"/>
        <w:jc w:val="center"/>
        <w:rPr>
          <w:b/>
          <w:sz w:val="24"/>
        </w:rPr>
      </w:pPr>
      <w:r>
        <w:rPr>
          <w:b/>
          <w:sz w:val="24"/>
        </w:rPr>
        <w:t>表2</w:t>
      </w:r>
      <w:r>
        <w:rPr>
          <w:rFonts w:hint="eastAsia"/>
          <w:b/>
          <w:sz w:val="24"/>
          <w:lang w:val="en-US" w:eastAsia="zh-CN"/>
        </w:rPr>
        <w:t xml:space="preserve"> </w:t>
      </w:r>
      <w:r>
        <w:rPr>
          <w:b/>
          <w:sz w:val="24"/>
        </w:rPr>
        <w:t>开发时序和年度实施计划一览表</w:t>
      </w:r>
    </w:p>
    <w:p>
      <w:pPr>
        <w:spacing w:before="3" w:line="256" w:lineRule="exact"/>
        <w:ind w:left="2704" w:firstLine="482"/>
        <w:jc w:val="right"/>
        <w:rPr>
          <w:sz w:val="6"/>
        </w:rPr>
      </w:pPr>
      <w:r>
        <w:rPr>
          <w:rFonts w:hint="eastAsia" w:ascii="仿宋"/>
          <w:b/>
          <w:sz w:val="24"/>
        </w:rPr>
        <w:t>单位：公顷</w:t>
      </w:r>
    </w:p>
    <w:tbl>
      <w:tblPr>
        <w:tblStyle w:val="12"/>
        <w:tblW w:w="501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394"/>
        <w:gridCol w:w="1866"/>
        <w:gridCol w:w="1535"/>
        <w:gridCol w:w="1480"/>
        <w:gridCol w:w="16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1347" w:type="pct"/>
            <w:vAlign w:val="center"/>
          </w:tcPr>
          <w:p>
            <w:pPr>
              <w:pStyle w:val="16"/>
              <w:autoSpaceDE/>
              <w:autoSpaceDN/>
              <w:spacing w:before="0" w:line="400" w:lineRule="exact"/>
              <w:ind w:left="0"/>
              <w:jc w:val="center"/>
              <w:rPr>
                <w:b/>
                <w:sz w:val="22"/>
              </w:rPr>
            </w:pPr>
            <w:r>
              <w:rPr>
                <w:b/>
                <w:sz w:val="22"/>
              </w:rPr>
              <w:t>片区名称</w:t>
            </w:r>
          </w:p>
        </w:tc>
        <w:tc>
          <w:tcPr>
            <w:tcW w:w="1050" w:type="pct"/>
            <w:vAlign w:val="center"/>
          </w:tcPr>
          <w:p>
            <w:pPr>
              <w:pStyle w:val="16"/>
              <w:autoSpaceDE/>
              <w:autoSpaceDN/>
              <w:spacing w:before="0" w:line="400" w:lineRule="exact"/>
              <w:ind w:left="0"/>
              <w:jc w:val="center"/>
              <w:rPr>
                <w:b/>
                <w:sz w:val="22"/>
              </w:rPr>
            </w:pPr>
            <w:r>
              <w:rPr>
                <w:b/>
                <w:sz w:val="22"/>
              </w:rPr>
              <w:t>项目名称</w:t>
            </w:r>
          </w:p>
        </w:tc>
        <w:tc>
          <w:tcPr>
            <w:tcW w:w="863" w:type="pct"/>
            <w:vAlign w:val="center"/>
          </w:tcPr>
          <w:p>
            <w:pPr>
              <w:pStyle w:val="16"/>
              <w:autoSpaceDE/>
              <w:autoSpaceDN/>
              <w:spacing w:before="0" w:line="400" w:lineRule="exact"/>
              <w:ind w:left="0"/>
              <w:jc w:val="center"/>
              <w:rPr>
                <w:b/>
                <w:sz w:val="22"/>
              </w:rPr>
            </w:pPr>
            <w:r>
              <w:rPr>
                <w:b/>
                <w:sz w:val="22"/>
              </w:rPr>
              <w:t>土地用途</w:t>
            </w:r>
          </w:p>
        </w:tc>
        <w:tc>
          <w:tcPr>
            <w:tcW w:w="833" w:type="pct"/>
            <w:vAlign w:val="center"/>
          </w:tcPr>
          <w:p>
            <w:pPr>
              <w:pStyle w:val="16"/>
              <w:autoSpaceDE/>
              <w:autoSpaceDN/>
              <w:spacing w:before="0" w:line="400" w:lineRule="exact"/>
              <w:ind w:left="0" w:right="0"/>
              <w:jc w:val="center"/>
              <w:rPr>
                <w:b/>
                <w:sz w:val="22"/>
              </w:rPr>
            </w:pPr>
            <w:r>
              <w:rPr>
                <w:b/>
                <w:sz w:val="22"/>
              </w:rPr>
              <w:t>拟征收面积</w:t>
            </w:r>
          </w:p>
        </w:tc>
        <w:tc>
          <w:tcPr>
            <w:tcW w:w="905" w:type="pct"/>
            <w:vAlign w:val="center"/>
          </w:tcPr>
          <w:p>
            <w:pPr>
              <w:pStyle w:val="16"/>
              <w:autoSpaceDE/>
              <w:autoSpaceDN/>
              <w:spacing w:before="0" w:line="400" w:lineRule="exact"/>
              <w:ind w:left="0" w:right="0"/>
              <w:jc w:val="center"/>
              <w:rPr>
                <w:b/>
                <w:sz w:val="22"/>
              </w:rPr>
            </w:pPr>
            <w:r>
              <w:rPr>
                <w:b/>
                <w:sz w:val="22"/>
              </w:rPr>
              <w:t>开发时序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jc w:val="center"/>
        </w:trPr>
        <w:tc>
          <w:tcPr>
            <w:tcW w:w="1347" w:type="pct"/>
            <w:vAlign w:val="center"/>
          </w:tcPr>
          <w:p>
            <w:pPr>
              <w:pStyle w:val="16"/>
              <w:autoSpaceDE/>
              <w:autoSpaceDN/>
              <w:spacing w:before="0" w:line="400" w:lineRule="exact"/>
              <w:ind w:left="0"/>
              <w:jc w:val="center"/>
              <w:rPr>
                <w:rFonts w:hint="eastAsia" w:eastAsia="仿宋_GB2312"/>
                <w:sz w:val="20"/>
                <w:szCs w:val="20"/>
                <w:lang w:eastAsia="zh-CN"/>
              </w:rPr>
            </w:pPr>
            <w:r>
              <w:rPr>
                <w:rFonts w:hint="eastAsia"/>
                <w:sz w:val="20"/>
                <w:szCs w:val="20"/>
                <w:lang w:eastAsia="zh-CN"/>
              </w:rPr>
              <w:t>官渡镇片区</w:t>
            </w:r>
          </w:p>
        </w:tc>
        <w:tc>
          <w:tcPr>
            <w:tcW w:w="1050" w:type="pct"/>
            <w:vAlign w:val="center"/>
          </w:tcPr>
          <w:p>
            <w:pPr>
              <w:pStyle w:val="16"/>
              <w:autoSpaceDE/>
              <w:autoSpaceDN/>
              <w:spacing w:before="0" w:line="400" w:lineRule="exact"/>
              <w:ind w:left="0"/>
              <w:jc w:val="center"/>
              <w:rPr>
                <w:sz w:val="20"/>
                <w:szCs w:val="20"/>
              </w:rPr>
            </w:pPr>
            <w:r>
              <w:rPr>
                <w:rFonts w:hint="eastAsia"/>
                <w:sz w:val="20"/>
                <w:szCs w:val="20"/>
              </w:rPr>
              <w:t>六里环保新材料项目</w:t>
            </w:r>
          </w:p>
        </w:tc>
        <w:tc>
          <w:tcPr>
            <w:tcW w:w="863" w:type="pct"/>
            <w:vAlign w:val="center"/>
          </w:tcPr>
          <w:p>
            <w:pPr>
              <w:pStyle w:val="16"/>
              <w:autoSpaceDE/>
              <w:autoSpaceDN/>
              <w:spacing w:before="0" w:line="400" w:lineRule="exact"/>
              <w:ind w:left="0"/>
              <w:jc w:val="center"/>
              <w:rPr>
                <w:sz w:val="20"/>
                <w:szCs w:val="20"/>
              </w:rPr>
            </w:pPr>
            <w:r>
              <w:rPr>
                <w:sz w:val="20"/>
                <w:szCs w:val="20"/>
              </w:rPr>
              <w:t>工业用地</w:t>
            </w:r>
          </w:p>
        </w:tc>
        <w:tc>
          <w:tcPr>
            <w:tcW w:w="833" w:type="pct"/>
            <w:vAlign w:val="center"/>
          </w:tcPr>
          <w:p>
            <w:pPr>
              <w:pStyle w:val="16"/>
              <w:autoSpaceDE/>
              <w:autoSpaceDN/>
              <w:spacing w:before="0" w:line="400" w:lineRule="exact"/>
              <w:ind w:right="0"/>
              <w:jc w:val="center"/>
              <w:rPr>
                <w:sz w:val="20"/>
                <w:szCs w:val="20"/>
              </w:rPr>
            </w:pPr>
            <w:r>
              <w:rPr>
                <w:rFonts w:hint="eastAsia"/>
                <w:sz w:val="20"/>
                <w:szCs w:val="20"/>
              </w:rPr>
              <w:t>5.3777</w:t>
            </w:r>
          </w:p>
        </w:tc>
        <w:tc>
          <w:tcPr>
            <w:tcW w:w="905" w:type="pct"/>
            <w:vAlign w:val="center"/>
          </w:tcPr>
          <w:p>
            <w:pPr>
              <w:pStyle w:val="16"/>
              <w:autoSpaceDE/>
              <w:autoSpaceDN/>
              <w:spacing w:before="0" w:line="400" w:lineRule="exact"/>
              <w:ind w:left="0" w:right="0"/>
              <w:jc w:val="center"/>
              <w:rPr>
                <w:sz w:val="20"/>
                <w:szCs w:val="20"/>
              </w:rPr>
            </w:pPr>
            <w:r>
              <w:rPr>
                <w:sz w:val="20"/>
                <w:szCs w:val="20"/>
              </w:rPr>
              <w:t>2026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jc w:val="center"/>
        </w:trPr>
        <w:tc>
          <w:tcPr>
            <w:tcW w:w="1347" w:type="pct"/>
            <w:vAlign w:val="center"/>
          </w:tcPr>
          <w:p>
            <w:pPr>
              <w:pStyle w:val="16"/>
              <w:autoSpaceDE/>
              <w:autoSpaceDN/>
              <w:spacing w:before="0" w:line="400" w:lineRule="exact"/>
              <w:ind w:left="0"/>
              <w:jc w:val="center"/>
              <w:rPr>
                <w:rFonts w:hint="eastAsia" w:eastAsia="仿宋_GB2312"/>
                <w:sz w:val="20"/>
                <w:szCs w:val="20"/>
                <w:lang w:eastAsia="zh-CN"/>
              </w:rPr>
            </w:pPr>
            <w:r>
              <w:rPr>
                <w:rFonts w:hint="eastAsia"/>
                <w:sz w:val="20"/>
                <w:szCs w:val="20"/>
                <w:lang w:eastAsia="zh-CN"/>
              </w:rPr>
              <w:t>龙仙镇片区</w:t>
            </w:r>
          </w:p>
        </w:tc>
        <w:tc>
          <w:tcPr>
            <w:tcW w:w="1050" w:type="pct"/>
            <w:vAlign w:val="center"/>
          </w:tcPr>
          <w:p>
            <w:pPr>
              <w:pStyle w:val="16"/>
              <w:autoSpaceDE/>
              <w:autoSpaceDN/>
              <w:spacing w:before="0" w:line="400" w:lineRule="exact"/>
              <w:ind w:left="0"/>
              <w:jc w:val="center"/>
              <w:rPr>
                <w:sz w:val="20"/>
                <w:szCs w:val="20"/>
              </w:rPr>
            </w:pPr>
            <w:r>
              <w:rPr>
                <w:rFonts w:hint="eastAsia"/>
                <w:sz w:val="20"/>
                <w:szCs w:val="20"/>
              </w:rPr>
              <w:t>东华酒店项目</w:t>
            </w:r>
          </w:p>
        </w:tc>
        <w:tc>
          <w:tcPr>
            <w:tcW w:w="863" w:type="pct"/>
            <w:vAlign w:val="center"/>
          </w:tcPr>
          <w:p>
            <w:pPr>
              <w:pStyle w:val="16"/>
              <w:autoSpaceDE/>
              <w:autoSpaceDN/>
              <w:spacing w:before="0" w:line="400" w:lineRule="exact"/>
              <w:ind w:left="0"/>
              <w:jc w:val="center"/>
              <w:rPr>
                <w:rFonts w:hint="default" w:eastAsia="仿宋_GB2312"/>
                <w:sz w:val="20"/>
                <w:szCs w:val="20"/>
                <w:lang w:val="en-US" w:eastAsia="zh-CN"/>
              </w:rPr>
            </w:pPr>
            <w:r>
              <w:rPr>
                <w:rFonts w:hint="eastAsia"/>
                <w:sz w:val="20"/>
                <w:szCs w:val="20"/>
                <w:lang w:val="en-US" w:eastAsia="zh-CN"/>
              </w:rPr>
              <w:t>商业服务业用地</w:t>
            </w:r>
          </w:p>
        </w:tc>
        <w:tc>
          <w:tcPr>
            <w:tcW w:w="833" w:type="pct"/>
            <w:vAlign w:val="center"/>
          </w:tcPr>
          <w:p>
            <w:pPr>
              <w:pStyle w:val="16"/>
              <w:autoSpaceDE/>
              <w:autoSpaceDN/>
              <w:spacing w:before="0" w:line="400" w:lineRule="exact"/>
              <w:ind w:right="0"/>
              <w:jc w:val="center"/>
              <w:rPr>
                <w:sz w:val="20"/>
                <w:szCs w:val="20"/>
              </w:rPr>
            </w:pPr>
            <w:r>
              <w:rPr>
                <w:rFonts w:hint="eastAsia"/>
                <w:sz w:val="20"/>
                <w:szCs w:val="20"/>
              </w:rPr>
              <w:t>2.1254</w:t>
            </w:r>
          </w:p>
        </w:tc>
        <w:tc>
          <w:tcPr>
            <w:tcW w:w="905" w:type="pct"/>
            <w:vAlign w:val="center"/>
          </w:tcPr>
          <w:p>
            <w:pPr>
              <w:pStyle w:val="16"/>
              <w:autoSpaceDE/>
              <w:autoSpaceDN/>
              <w:spacing w:before="0" w:line="400" w:lineRule="exact"/>
              <w:ind w:left="0" w:right="0"/>
              <w:jc w:val="center"/>
              <w:rPr>
                <w:sz w:val="20"/>
                <w:szCs w:val="20"/>
              </w:rPr>
            </w:pPr>
            <w:r>
              <w:rPr>
                <w:sz w:val="20"/>
                <w:szCs w:val="20"/>
              </w:rPr>
              <w:t>2028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jc w:val="center"/>
        </w:trPr>
        <w:tc>
          <w:tcPr>
            <w:tcW w:w="3261" w:type="pct"/>
            <w:gridSpan w:val="3"/>
            <w:vAlign w:val="center"/>
          </w:tcPr>
          <w:p>
            <w:pPr>
              <w:pStyle w:val="16"/>
              <w:autoSpaceDE/>
              <w:autoSpaceDN/>
              <w:spacing w:before="0" w:line="400" w:lineRule="exact"/>
              <w:ind w:left="0" w:right="0"/>
              <w:jc w:val="center"/>
              <w:rPr>
                <w:b/>
                <w:bCs/>
                <w:sz w:val="22"/>
                <w:szCs w:val="22"/>
              </w:rPr>
            </w:pPr>
            <w:r>
              <w:rPr>
                <w:b/>
                <w:bCs/>
                <w:sz w:val="22"/>
                <w:szCs w:val="22"/>
              </w:rPr>
              <w:t>总计</w:t>
            </w:r>
          </w:p>
        </w:tc>
        <w:tc>
          <w:tcPr>
            <w:tcW w:w="833" w:type="pct"/>
            <w:vAlign w:val="center"/>
          </w:tcPr>
          <w:p>
            <w:pPr>
              <w:pStyle w:val="16"/>
              <w:autoSpaceDE/>
              <w:autoSpaceDN/>
              <w:spacing w:before="0" w:line="400" w:lineRule="exact"/>
              <w:ind w:right="0"/>
              <w:jc w:val="center"/>
              <w:rPr>
                <w:b/>
                <w:bCs/>
                <w:sz w:val="22"/>
                <w:szCs w:val="22"/>
              </w:rPr>
            </w:pPr>
            <w:r>
              <w:rPr>
                <w:rFonts w:hint="default"/>
                <w:b/>
                <w:bCs/>
                <w:sz w:val="22"/>
                <w:szCs w:val="22"/>
              </w:rPr>
              <w:t>7.5031</w:t>
            </w:r>
          </w:p>
        </w:tc>
        <w:tc>
          <w:tcPr>
            <w:tcW w:w="905" w:type="pct"/>
            <w:vAlign w:val="center"/>
          </w:tcPr>
          <w:p>
            <w:pPr>
              <w:pStyle w:val="16"/>
              <w:autoSpaceDE/>
              <w:autoSpaceDN/>
              <w:spacing w:before="0" w:line="400" w:lineRule="exact"/>
              <w:ind w:left="0" w:right="0"/>
              <w:jc w:val="center"/>
              <w:rPr>
                <w:rFonts w:hint="eastAsia" w:ascii="仿宋_GB2312" w:hAnsi="仿宋_GB2312"/>
                <w:sz w:val="22"/>
                <w:szCs w:val="22"/>
              </w:rPr>
            </w:pPr>
            <w:r>
              <w:rPr>
                <w:rFonts w:hint="eastAsia" w:ascii="仿宋_GB2312" w:hAnsi="仿宋_GB2312"/>
                <w:sz w:val="22"/>
                <w:szCs w:val="22"/>
              </w:rPr>
              <w:t>——</w:t>
            </w:r>
          </w:p>
        </w:tc>
      </w:tr>
    </w:tbl>
    <w:p>
      <w:pPr>
        <w:pStyle w:val="2"/>
        <w:autoSpaceDE/>
        <w:autoSpaceDN/>
        <w:spacing w:line="560" w:lineRule="exact"/>
        <w:ind w:right="0" w:firstLine="640" w:firstLineChars="200"/>
        <w:jc w:val="both"/>
        <w:rPr>
          <w:rFonts w:hint="eastAsia" w:ascii="黑体" w:hAnsi="黑体" w:eastAsia="黑体" w:cs="黑体"/>
          <w:b w:val="0"/>
          <w:bCs w:val="0"/>
          <w:sz w:val="32"/>
          <w:szCs w:val="32"/>
        </w:rPr>
      </w:pPr>
      <w:r>
        <w:rPr>
          <w:rFonts w:hint="eastAsia" w:ascii="黑体" w:hAnsi="黑体" w:eastAsia="黑体" w:cs="黑体"/>
          <w:b w:val="0"/>
          <w:bCs w:val="0"/>
          <w:sz w:val="32"/>
          <w:szCs w:val="32"/>
        </w:rPr>
        <w:t>公益性用地情况</w:t>
      </w:r>
    </w:p>
    <w:p>
      <w:pPr>
        <w:pStyle w:val="11"/>
        <w:spacing w:before="0" w:line="560" w:lineRule="exact"/>
        <w:ind w:left="0" w:right="0"/>
        <w:jc w:val="both"/>
      </w:pPr>
      <w:r>
        <w:t>本方案公益性用地总面积</w:t>
      </w:r>
      <w:r>
        <w:rPr>
          <w:rFonts w:hint="eastAsia"/>
        </w:rPr>
        <w:t>3.9263</w:t>
      </w:r>
      <w:r>
        <w:t>公顷，</w:t>
      </w:r>
      <w:r>
        <w:rPr>
          <w:rFonts w:hint="eastAsia"/>
        </w:rPr>
        <w:t>根据《广东省自然资源厅关于进一步规范土地征收成片开发工作的通知》（粤自然资规字〔2024〕7号）规定，在城镇开发边界内，广州、深圳、佛山、东莞市中心城区范围内一个完整的成片开发范围内公益性用地比例一般不低于40%，其他地区公益性用地比例一般不低于30%。本方案</w:t>
      </w:r>
      <w:r>
        <w:rPr>
          <w:rFonts w:hint="eastAsia"/>
          <w:lang w:eastAsia="zh-CN"/>
        </w:rPr>
        <w:t>官渡镇片区</w:t>
      </w:r>
      <w:r>
        <w:rPr>
          <w:rFonts w:hint="eastAsia"/>
        </w:rPr>
        <w:t>公益性用地面积2.6888公顷，占片区成片开发面积33.22%；</w:t>
      </w:r>
      <w:r>
        <w:rPr>
          <w:rFonts w:hint="eastAsia"/>
          <w:lang w:eastAsia="zh-CN"/>
        </w:rPr>
        <w:t>龙仙镇片区</w:t>
      </w:r>
      <w:r>
        <w:rPr>
          <w:rFonts w:hint="eastAsia"/>
        </w:rPr>
        <w:t>公益性用地面积1.2375公顷，占片区成片开发面积37.02%，均符合上述规定要求。</w:t>
      </w:r>
    </w:p>
    <w:p>
      <w:pPr>
        <w:pStyle w:val="2"/>
        <w:spacing w:before="152" w:line="560" w:lineRule="exact"/>
        <w:ind w:right="0" w:firstLine="640" w:firstLineChars="200"/>
        <w:jc w:val="both"/>
        <w:rPr>
          <w:rFonts w:hint="eastAsia" w:ascii="黑体" w:hAnsi="黑体" w:eastAsia="黑体" w:cs="黑体"/>
          <w:b w:val="0"/>
          <w:bCs w:val="0"/>
          <w:sz w:val="32"/>
          <w:szCs w:val="32"/>
        </w:rPr>
      </w:pPr>
      <w:bookmarkStart w:id="4" w:name="六、综合效益评价"/>
      <w:bookmarkEnd w:id="4"/>
      <w:r>
        <w:rPr>
          <w:rFonts w:hint="eastAsia" w:ascii="黑体" w:hAnsi="黑体" w:eastAsia="黑体" w:cs="黑体"/>
          <w:b w:val="0"/>
          <w:bCs w:val="0"/>
          <w:sz w:val="32"/>
          <w:szCs w:val="32"/>
        </w:rPr>
        <w:t>综合效益评价</w:t>
      </w:r>
    </w:p>
    <w:p>
      <w:pPr>
        <w:pStyle w:val="3"/>
      </w:pPr>
      <w:bookmarkStart w:id="5" w:name="（一）土地利用效益评估"/>
      <w:bookmarkEnd w:id="5"/>
      <w:r>
        <w:t>土地利用效益</w:t>
      </w:r>
    </w:p>
    <w:p>
      <w:pPr>
        <w:pStyle w:val="11"/>
        <w:adjustRightInd/>
        <w:spacing w:before="0" w:line="560" w:lineRule="exact"/>
        <w:ind w:left="0" w:right="0" w:firstLine="640"/>
        <w:jc w:val="both"/>
        <w:rPr>
          <w:rFonts w:hint="eastAsia"/>
        </w:rPr>
      </w:pPr>
      <w:r>
        <w:rPr>
          <w:rFonts w:hint="eastAsia"/>
        </w:rPr>
        <w:t>根据《中华人民共和国土地管理法》第四十四条的规定,建设占用土地,涉及农用地转为建设用地的，应当办理农用地转用审批手续。农用地转用为建设用地后，往往伴随着基础设施建设和产业项目的落地，这些项目能够直接拉动经济增长，促进当地产业结构的优化升级。通过引入先进的生产技术和管理模式，提高土地资源的利用效率，进一步推动区域经济的繁荣。农用地转用是实现土地资源优化配置的重要手段。在城市化进程中，随着人口向城市集中，原有的农用地布局难以满足城市发展的需要。通过农用地转用，可以将部分低效利用的农用地转变为建设用地，满足城市扩张和产业发展的需要，同时促进农村土地的集约化和规模化经营。农用地转用过程中，农民可以通过土地流转获得租金收入，或者通过参与土地整理和复垦等项目获得劳务收入。此外，随着城市化和工业化的发展，农民还可以选择到城市务工或从事其他非农产业，实现收入的多元化和增长。这些都有助于提高农民的生活水平，缩小城乡收入差距。我国经济社会步入新发展阶段，经济增长方式正在由过去的“资源扩张型”向“节约集约型”渐进式转变。资源节约集约利用是实现高质量发展的内在需要。土地作为重要的资源要素，同样迫切需要开展节约集约研究。</w:t>
      </w:r>
    </w:p>
    <w:p>
      <w:pPr>
        <w:pStyle w:val="11"/>
        <w:adjustRightInd/>
        <w:spacing w:before="0" w:line="560" w:lineRule="exact"/>
        <w:ind w:left="0" w:right="0" w:firstLine="640"/>
        <w:jc w:val="both"/>
        <w:rPr>
          <w:rFonts w:hint="eastAsia"/>
        </w:rPr>
      </w:pPr>
      <w:r>
        <w:rPr>
          <w:rFonts w:hint="eastAsia"/>
          <w:spacing w:val="0"/>
        </w:rPr>
        <w:t>本次土地征收成片通过合理安排用地规模、结构和布局，积极挖潜存量用地，在优化土地结构布局同时，可以有效改善城市人居环境，降低政府用地成本。开发片区充分利用闲置“边角地”、“夹心地”等形态不规整、零散地块，对边角空间进行差异化建设利用，有利于推动土地资源的合理配置，提升城市功能和品质，提高土地利用效益。</w:t>
      </w:r>
      <w:r>
        <w:rPr>
          <w:rFonts w:hint="eastAsia"/>
        </w:rPr>
        <w:t>将官渡镇、龙仙镇的零星散乱与国有土地混杂的集体土地统一征收，通过对散乱分布的集体土地进行征收后成片开发，可有效解决国有土地与集体土地混杂、土地综合利用难度大等问题。</w:t>
      </w:r>
    </w:p>
    <w:p>
      <w:pPr>
        <w:pStyle w:val="3"/>
      </w:pPr>
      <w:r>
        <w:t>经济效益</w:t>
      </w:r>
    </w:p>
    <w:p>
      <w:pPr>
        <w:pStyle w:val="11"/>
        <w:adjustRightInd/>
        <w:spacing w:before="0" w:line="560" w:lineRule="exact"/>
        <w:ind w:left="0" w:right="0" w:firstLine="640"/>
      </w:pPr>
      <w:r>
        <w:rPr>
          <w:spacing w:val="0"/>
        </w:rPr>
        <w:t>通过本次土地征收成片开发，能够保障地方经济发展项目顺利落地和实施，片区周边区域开发建设条件较好，开发片区建设经济盈利能力和抗风险能力相对较强，预计可产生良好的经济效益。</w:t>
      </w:r>
    </w:p>
    <w:p>
      <w:pPr>
        <w:pStyle w:val="11"/>
        <w:adjustRightInd/>
        <w:spacing w:before="0"/>
        <w:ind w:left="0" w:firstLine="640"/>
      </w:pPr>
      <w:r>
        <w:rPr>
          <w:rFonts w:hint="eastAsia"/>
          <w:lang w:eastAsia="zh-CN"/>
        </w:rPr>
        <w:t>官渡镇片区</w:t>
      </w:r>
      <w:r>
        <w:rPr>
          <w:spacing w:val="0"/>
        </w:rPr>
        <w:t>用于</w:t>
      </w:r>
      <w:r>
        <w:rPr>
          <w:rFonts w:hint="eastAsia"/>
        </w:rPr>
        <w:t>六里环保新材料项目</w:t>
      </w:r>
      <w:r>
        <w:rPr>
          <w:spacing w:val="0"/>
        </w:rPr>
        <w:t>建设，项目</w:t>
      </w:r>
      <w:r>
        <w:rPr>
          <w:rFonts w:hint="eastAsia"/>
        </w:rPr>
        <w:t>总投资2亿元，达产后预计年产值3亿元，预计年纳税1000万元。</w:t>
      </w:r>
    </w:p>
    <w:p>
      <w:pPr>
        <w:pStyle w:val="11"/>
        <w:adjustRightInd/>
        <w:spacing w:before="0"/>
        <w:ind w:left="0" w:firstLine="640"/>
      </w:pPr>
      <w:r>
        <w:rPr>
          <w:rFonts w:hint="eastAsia"/>
          <w:lang w:eastAsia="zh-CN"/>
        </w:rPr>
        <w:t>龙仙镇片区</w:t>
      </w:r>
      <w:r>
        <w:t>用于</w:t>
      </w:r>
      <w:r>
        <w:rPr>
          <w:rFonts w:hint="eastAsia"/>
        </w:rPr>
        <w:t>东华酒店项目</w:t>
      </w:r>
      <w:r>
        <w:t>建设，项目</w:t>
      </w:r>
      <w:r>
        <w:rPr>
          <w:rFonts w:hint="eastAsia"/>
        </w:rPr>
        <w:t>总投资约2.2亿元，投资强度30万/亩，税收1万/亩</w:t>
      </w:r>
      <w:r>
        <w:t>。</w:t>
      </w:r>
    </w:p>
    <w:p>
      <w:pPr>
        <w:pStyle w:val="11"/>
        <w:adjustRightInd/>
        <w:spacing w:before="0" w:line="560" w:lineRule="exact"/>
        <w:ind w:left="0" w:right="0" w:firstLine="640"/>
      </w:pPr>
      <w:r>
        <w:rPr>
          <w:spacing w:val="0"/>
        </w:rPr>
        <w:t>综上</w:t>
      </w:r>
      <w:r>
        <w:rPr>
          <w:rFonts w:hint="eastAsia"/>
        </w:rPr>
        <w:t>所述</w:t>
      </w:r>
      <w:r>
        <w:rPr>
          <w:spacing w:val="0"/>
        </w:rPr>
        <w:t>，本次成片</w:t>
      </w:r>
      <w:r>
        <w:rPr>
          <w:rFonts w:hint="eastAsia"/>
        </w:rPr>
        <w:t>开发</w:t>
      </w:r>
      <w:r>
        <w:rPr>
          <w:spacing w:val="0"/>
        </w:rPr>
        <w:t>方案的项目实施有效促进城市功能服务提升，推进经济社会高质量发展。</w:t>
      </w:r>
    </w:p>
    <w:p>
      <w:pPr>
        <w:pStyle w:val="3"/>
      </w:pPr>
      <w:bookmarkStart w:id="6" w:name="_bookmark23"/>
      <w:bookmarkEnd w:id="6"/>
      <w:bookmarkStart w:id="7" w:name="（三）社会效益"/>
      <w:bookmarkEnd w:id="7"/>
      <w:r>
        <w:t>社会效益</w:t>
      </w:r>
    </w:p>
    <w:p>
      <w:pPr>
        <w:pStyle w:val="11"/>
        <w:adjustRightInd/>
        <w:spacing w:before="0" w:line="560" w:lineRule="exact"/>
        <w:ind w:left="0" w:right="0" w:firstLine="640"/>
      </w:pPr>
      <w:r>
        <w:rPr>
          <w:spacing w:val="0"/>
        </w:rPr>
        <w:t>在城镇基础设施建设方面，</w:t>
      </w:r>
      <w:r>
        <w:t>本次成片</w:t>
      </w:r>
      <w:r>
        <w:rPr>
          <w:rFonts w:hint="eastAsia"/>
        </w:rPr>
        <w:t>开发片区建设有利于</w:t>
      </w:r>
      <w:r>
        <w:rPr>
          <w:spacing w:val="0"/>
        </w:rPr>
        <w:t>带动周边区域基础设施及公共配套设施的建设，完善片区内城市路网、基础设施和公共服务设施建设，有助于推进基本公共服务均等化，营造服务便捷、流动有序、职住均衡的生活就业环境。</w:t>
      </w:r>
    </w:p>
    <w:p>
      <w:pPr>
        <w:pStyle w:val="11"/>
        <w:adjustRightInd/>
        <w:spacing w:line="560" w:lineRule="exact"/>
        <w:ind w:left="0" w:right="0" w:firstLine="640"/>
      </w:pPr>
      <w:r>
        <w:rPr>
          <w:spacing w:val="0"/>
        </w:rPr>
        <w:t>在带动就业方面，通过工业集聚以及其他公益性设施的配套，能够扩大工业发展规模，可创造约</w:t>
      </w:r>
      <w:r>
        <w:rPr>
          <w:rFonts w:hint="eastAsia"/>
        </w:rPr>
        <w:t>500</w:t>
      </w:r>
      <w:r>
        <w:t>个就业岗位，有利于吸收周边</w:t>
      </w:r>
      <w:r>
        <w:rPr>
          <w:spacing w:val="0"/>
        </w:rPr>
        <w:t>剩余劳动力。随着城市规模的扩大和基础设施的完善，将带动项目周边地区人口的集聚和产业的发展，带动片区及周边的社会经济发展，增加政府财政税收。随着片区开发项目建设，</w:t>
      </w:r>
      <w:r>
        <w:rPr>
          <w:rFonts w:hint="eastAsia"/>
        </w:rPr>
        <w:t>有利于培育构建新材料优势产业集群，加快形成上下游协作配套的格局</w:t>
      </w:r>
      <w:r>
        <w:rPr>
          <w:spacing w:val="0"/>
        </w:rPr>
        <w:t>，为当地社会增加就业机会，极大地缓解了就业和再就业的矛盾。</w:t>
      </w:r>
    </w:p>
    <w:p>
      <w:pPr>
        <w:pStyle w:val="11"/>
        <w:adjustRightInd/>
        <w:spacing w:line="560" w:lineRule="exact"/>
        <w:ind w:left="0" w:right="0" w:firstLine="640"/>
      </w:pPr>
      <w:r>
        <w:rPr>
          <w:spacing w:val="0"/>
        </w:rPr>
        <w:t>在城市形象方面，片区开发项目的建设有利于“最美小城”的形象提升，将有助于塑造用地功能合理、交通便捷、环境优美、高品质城市功能集聚区，促进翁源争当韶关县域经济高质量发展跨越式增长示范县。</w:t>
      </w:r>
    </w:p>
    <w:p>
      <w:pPr>
        <w:pStyle w:val="3"/>
      </w:pPr>
      <w:bookmarkStart w:id="8" w:name="_bookmark24"/>
      <w:bookmarkEnd w:id="8"/>
      <w:bookmarkStart w:id="9" w:name="（四）生态效益"/>
      <w:bookmarkEnd w:id="9"/>
      <w:r>
        <w:t>生态效益</w:t>
      </w:r>
    </w:p>
    <w:p>
      <w:pPr>
        <w:pStyle w:val="11"/>
        <w:adjustRightInd/>
        <w:spacing w:line="560" w:lineRule="exact"/>
        <w:ind w:left="0" w:right="0" w:firstLine="640"/>
        <w:jc w:val="both"/>
        <w:rPr>
          <w:rFonts w:hint="eastAsia"/>
        </w:rPr>
      </w:pPr>
      <w:r>
        <w:rPr>
          <w:rFonts w:hint="eastAsia"/>
          <w:spacing w:val="0"/>
        </w:rPr>
        <w:t>翁源县践行“绿水青山就是金山银山”理念，紧扣“一核一带一区”区域发展格局及北部生态发展区的定位，全面筑牢粤北生态屏障，严格实行“三线一单”生态环境管控体系。本次成片开发片区范围内不涉及占用永久基本农田、自然保护地及陆域生态保护红线等各类生态管控要素，符合生态环境保护要求。</w:t>
      </w:r>
    </w:p>
    <w:p>
      <w:pPr>
        <w:pStyle w:val="11"/>
        <w:adjustRightInd/>
        <w:spacing w:line="560" w:lineRule="exact"/>
        <w:ind w:left="0" w:right="0" w:firstLine="640"/>
        <w:jc w:val="both"/>
        <w:rPr>
          <w:rFonts w:hint="eastAsia"/>
        </w:rPr>
      </w:pPr>
      <w:r>
        <w:rPr>
          <w:rFonts w:hint="eastAsia"/>
          <w:spacing w:val="0"/>
        </w:rPr>
        <w:t>本次成片开发片区规划</w:t>
      </w:r>
      <w:r>
        <w:rPr>
          <w:rFonts w:hint="eastAsia"/>
        </w:rPr>
        <w:t>公园绿地</w:t>
      </w:r>
      <w:r>
        <w:rPr>
          <w:rFonts w:hint="eastAsia"/>
          <w:spacing w:val="0"/>
        </w:rPr>
        <w:t>约</w:t>
      </w:r>
      <w:r>
        <w:rPr>
          <w:rFonts w:hint="eastAsia"/>
        </w:rPr>
        <w:t>0.4291</w:t>
      </w:r>
      <w:r>
        <w:rPr>
          <w:rFonts w:hint="eastAsia"/>
          <w:spacing w:val="0"/>
        </w:rPr>
        <w:t>公顷，可加强生态环境建设，促进区域经济可持续发展。</w:t>
      </w:r>
      <w:r>
        <w:rPr>
          <w:rFonts w:hint="eastAsia"/>
        </w:rPr>
        <w:t>片区</w:t>
      </w:r>
      <w:r>
        <w:rPr>
          <w:rFonts w:hint="eastAsia"/>
          <w:spacing w:val="0"/>
        </w:rPr>
        <w:t>项目开发建设过程中，</w:t>
      </w:r>
      <w:r>
        <w:rPr>
          <w:rFonts w:hint="eastAsia"/>
        </w:rPr>
        <w:t>也将</w:t>
      </w:r>
      <w:r>
        <w:rPr>
          <w:rFonts w:hint="eastAsia"/>
          <w:spacing w:val="0"/>
        </w:rPr>
        <w:t>推广应用新技术成果等创新能力</w:t>
      </w:r>
      <w:r>
        <w:rPr>
          <w:rFonts w:hint="eastAsia"/>
        </w:rPr>
        <w:t>，</w:t>
      </w:r>
      <w:r>
        <w:rPr>
          <w:rFonts w:hint="eastAsia"/>
          <w:spacing w:val="0"/>
        </w:rPr>
        <w:t>实现经济效益、社会效益和生态效益相统一</w:t>
      </w:r>
      <w:r>
        <w:rPr>
          <w:rFonts w:hint="eastAsia"/>
        </w:rPr>
        <w:t>，</w:t>
      </w:r>
      <w:r>
        <w:rPr>
          <w:rFonts w:hint="eastAsia"/>
          <w:spacing w:val="0"/>
        </w:rPr>
        <w:t>有助于加强生态环境保护与建设，提升城市生态品质，推进绿色低碳循环发展，加快形成节约资源和保护环境的生产生活方式，建设“绿水青山就是金山银山”的“翁源样板”。</w:t>
      </w:r>
    </w:p>
    <w:p>
      <w:pPr>
        <w:pStyle w:val="2"/>
        <w:spacing w:before="154"/>
        <w:ind w:firstLine="640" w:firstLineChars="200"/>
        <w:rPr>
          <w:rFonts w:hint="eastAsia"/>
        </w:rPr>
      </w:pPr>
      <w:r>
        <w:rPr>
          <w:rFonts w:hint="eastAsia"/>
        </w:rPr>
        <w:t>结论</w:t>
      </w:r>
    </w:p>
    <w:p>
      <w:pPr>
        <w:pStyle w:val="11"/>
        <w:rPr>
          <w:rFonts w:hint="eastAsia"/>
          <w:lang w:eastAsia="zh-CN"/>
        </w:rPr>
      </w:pPr>
      <w:r>
        <w:rPr>
          <w:rFonts w:hint="default"/>
        </w:rPr>
        <w:t>综上所述，《</w:t>
      </w:r>
      <w:r>
        <w:rPr>
          <w:rFonts w:hint="eastAsia"/>
        </w:rPr>
        <w:t>韶关市翁源县2025年度土地征收成片开发方案（第一批）</w:t>
      </w:r>
      <w:r>
        <w:rPr>
          <w:rFonts w:hint="default"/>
        </w:rPr>
        <w:t>》符合《自然资源部关于印发&lt;土地征收成片开发标准&gt;的通知》（自然资规〔2023〕7号）和</w:t>
      </w:r>
      <w:r>
        <w:rPr>
          <w:rFonts w:hint="eastAsia"/>
          <w:lang w:eastAsia="zh-CN"/>
        </w:rPr>
        <w:t>《</w:t>
      </w:r>
      <w:r>
        <w:rPr>
          <w:rFonts w:hint="eastAsia"/>
        </w:rPr>
        <w:t>广东省自然资源厅关于进一步规范土地征收成片开发工作的通知</w:t>
      </w:r>
      <w:r>
        <w:rPr>
          <w:rFonts w:hint="eastAsia"/>
          <w:lang w:eastAsia="zh-CN"/>
        </w:rPr>
        <w:t>》</w:t>
      </w:r>
      <w:r>
        <w:rPr>
          <w:rFonts w:hint="eastAsia"/>
        </w:rPr>
        <w:t>（粤自然资规字〔2024〕7号）</w:t>
      </w:r>
      <w:r>
        <w:rPr>
          <w:rFonts w:hint="default"/>
        </w:rPr>
        <w:t>等政策要求</w:t>
      </w:r>
      <w:r>
        <w:rPr>
          <w:rFonts w:hint="eastAsia"/>
          <w:lang w:eastAsia="zh-CN"/>
        </w:rPr>
        <w:t>。</w:t>
      </w:r>
    </w:p>
    <w:p>
      <w:pPr>
        <w:pStyle w:val="2"/>
        <w:spacing w:before="154"/>
        <w:ind w:firstLine="640" w:firstLineChars="200"/>
        <w:rPr>
          <w:rFonts w:hint="eastAsia"/>
          <w:lang w:val="en-US" w:eastAsia="zh-CN"/>
        </w:rPr>
      </w:pPr>
      <w:r>
        <w:rPr>
          <w:rFonts w:hint="eastAsia"/>
          <w:lang w:val="en-US" w:eastAsia="zh-CN"/>
        </w:rPr>
        <w:t>附图</w:t>
      </w:r>
    </w:p>
    <w:p>
      <w:pPr>
        <w:pStyle w:val="11"/>
        <w:numPr>
          <w:ilvl w:val="0"/>
          <w:numId w:val="3"/>
        </w:numPr>
        <w:autoSpaceDE/>
        <w:autoSpaceDN/>
        <w:ind w:firstLine="640" w:firstLineChars="200"/>
        <w:rPr>
          <w:rFonts w:hint="eastAsia"/>
          <w:lang w:eastAsia="zh-CN"/>
        </w:rPr>
      </w:pPr>
      <w:r>
        <w:rPr>
          <w:rFonts w:hint="eastAsia"/>
          <w:lang w:eastAsia="zh-CN"/>
        </w:rPr>
        <w:t>成片开发范围位置图</w:t>
      </w:r>
    </w:p>
    <w:p>
      <w:pPr>
        <w:pStyle w:val="11"/>
        <w:numPr>
          <w:ilvl w:val="0"/>
          <w:numId w:val="3"/>
        </w:numPr>
        <w:autoSpaceDE/>
        <w:autoSpaceDN/>
        <w:ind w:firstLine="640" w:firstLineChars="200"/>
        <w:rPr>
          <w:rFonts w:hint="eastAsia"/>
          <w:lang w:eastAsia="zh-CN"/>
        </w:rPr>
      </w:pPr>
      <w:r>
        <w:rPr>
          <w:rFonts w:hint="eastAsia"/>
          <w:lang w:eastAsia="zh-CN"/>
        </w:rPr>
        <w:t>年度实施计划示意图</w:t>
      </w:r>
    </w:p>
    <w:p>
      <w:pPr>
        <w:pStyle w:val="11"/>
        <w:ind w:firstLine="0" w:firstLineChars="0"/>
        <w:rPr>
          <w:rFonts w:hint="eastAsia"/>
          <w:lang w:eastAsia="zh-CN"/>
        </w:rPr>
      </w:pPr>
    </w:p>
    <w:p>
      <w:pPr>
        <w:pStyle w:val="11"/>
        <w:ind w:firstLine="0" w:firstLineChars="0"/>
        <w:rPr>
          <w:rFonts w:hint="eastAsia"/>
          <w:lang w:eastAsia="zh-CN"/>
        </w:rPr>
        <w:sectPr>
          <w:pgSz w:w="11911" w:h="16838"/>
          <w:pgMar w:top="2098" w:right="1474" w:bottom="1984" w:left="1587" w:header="850" w:footer="1474" w:gutter="0"/>
          <w:cols w:space="0" w:num="1"/>
          <w:rtlGutter w:val="0"/>
          <w:docGrid w:type="lines" w:linePitch="579" w:charSpace="0"/>
        </w:sectPr>
      </w:pPr>
    </w:p>
    <w:p>
      <w:pPr>
        <w:pStyle w:val="11"/>
        <w:spacing w:line="240" w:lineRule="auto"/>
        <w:ind w:firstLine="0" w:firstLineChars="0"/>
        <w:rPr>
          <w:rFonts w:hint="eastAsia"/>
          <w:lang w:eastAsia="zh-CN"/>
        </w:rPr>
      </w:pPr>
      <w:r>
        <w:rPr>
          <w:rFonts w:hint="eastAsia"/>
          <w:lang w:eastAsia="zh-CN"/>
        </w:rPr>
        <w:drawing>
          <wp:inline distT="0" distB="0" distL="114300" distR="114300">
            <wp:extent cx="5610225" cy="7935595"/>
            <wp:effectExtent l="0" t="0" r="9525" b="8255"/>
            <wp:docPr id="5" name="图片 5" descr="位置示意图（六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位置示意图（六里）"/>
                    <pic:cNvPicPr>
                      <a:picLocks noChangeAspect="1"/>
                    </pic:cNvPicPr>
                  </pic:nvPicPr>
                  <pic:blipFill>
                    <a:blip r:embed="rId6"/>
                    <a:stretch>
                      <a:fillRect/>
                    </a:stretch>
                  </pic:blipFill>
                  <pic:spPr>
                    <a:xfrm>
                      <a:off x="0" y="0"/>
                      <a:ext cx="5610225" cy="7935595"/>
                    </a:xfrm>
                    <a:prstGeom prst="rect">
                      <a:avLst/>
                    </a:prstGeom>
                  </pic:spPr>
                </pic:pic>
              </a:graphicData>
            </a:graphic>
          </wp:inline>
        </w:drawing>
      </w:r>
    </w:p>
    <w:p>
      <w:pPr>
        <w:pStyle w:val="11"/>
        <w:spacing w:line="240" w:lineRule="auto"/>
        <w:ind w:firstLine="0" w:firstLineChars="0"/>
        <w:rPr>
          <w:rFonts w:hint="eastAsia"/>
          <w:lang w:eastAsia="zh-CN"/>
        </w:rPr>
      </w:pPr>
      <w:r>
        <w:rPr>
          <w:rFonts w:hint="eastAsia"/>
          <w:lang w:eastAsia="zh-CN"/>
        </w:rPr>
        <w:drawing>
          <wp:inline distT="0" distB="0" distL="114300" distR="114300">
            <wp:extent cx="5610225" cy="7935595"/>
            <wp:effectExtent l="0" t="0" r="9525" b="8255"/>
            <wp:docPr id="6" name="图片 6" descr="位置示意图（东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位置示意图（东华）"/>
                    <pic:cNvPicPr>
                      <a:picLocks noChangeAspect="1"/>
                    </pic:cNvPicPr>
                  </pic:nvPicPr>
                  <pic:blipFill>
                    <a:blip r:embed="rId7"/>
                    <a:stretch>
                      <a:fillRect/>
                    </a:stretch>
                  </pic:blipFill>
                  <pic:spPr>
                    <a:xfrm>
                      <a:off x="0" y="0"/>
                      <a:ext cx="5610225" cy="7935595"/>
                    </a:xfrm>
                    <a:prstGeom prst="rect">
                      <a:avLst/>
                    </a:prstGeom>
                  </pic:spPr>
                </pic:pic>
              </a:graphicData>
            </a:graphic>
          </wp:inline>
        </w:drawing>
      </w:r>
      <w:r>
        <w:rPr>
          <w:rFonts w:hint="eastAsia"/>
          <w:lang w:eastAsia="zh-CN"/>
        </w:rPr>
        <w:drawing>
          <wp:inline distT="0" distB="0" distL="114300" distR="114300">
            <wp:extent cx="5610225" cy="7935595"/>
            <wp:effectExtent l="0" t="0" r="9525" b="8255"/>
            <wp:docPr id="1" name="图片 1" descr="年度计划位置示意图（六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年度计划位置示意图（六里）"/>
                    <pic:cNvPicPr>
                      <a:picLocks noChangeAspect="1"/>
                    </pic:cNvPicPr>
                  </pic:nvPicPr>
                  <pic:blipFill>
                    <a:blip r:embed="rId8"/>
                    <a:stretch>
                      <a:fillRect/>
                    </a:stretch>
                  </pic:blipFill>
                  <pic:spPr>
                    <a:xfrm>
                      <a:off x="0" y="0"/>
                      <a:ext cx="5610225" cy="7935595"/>
                    </a:xfrm>
                    <a:prstGeom prst="rect">
                      <a:avLst/>
                    </a:prstGeom>
                  </pic:spPr>
                </pic:pic>
              </a:graphicData>
            </a:graphic>
          </wp:inline>
        </w:drawing>
      </w:r>
      <w:r>
        <w:rPr>
          <w:rFonts w:hint="eastAsia"/>
          <w:lang w:eastAsia="zh-CN"/>
        </w:rPr>
        <w:drawing>
          <wp:inline distT="0" distB="0" distL="114300" distR="114300">
            <wp:extent cx="5610225" cy="7935595"/>
            <wp:effectExtent l="0" t="0" r="9525" b="8255"/>
            <wp:docPr id="4" name="图片 4" descr="年度计划示意图（东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年度计划示意图（东华）"/>
                    <pic:cNvPicPr>
                      <a:picLocks noChangeAspect="1"/>
                    </pic:cNvPicPr>
                  </pic:nvPicPr>
                  <pic:blipFill>
                    <a:blip r:embed="rId9"/>
                    <a:stretch>
                      <a:fillRect/>
                    </a:stretch>
                  </pic:blipFill>
                  <pic:spPr>
                    <a:xfrm>
                      <a:off x="0" y="0"/>
                      <a:ext cx="5610225" cy="7935595"/>
                    </a:xfrm>
                    <a:prstGeom prst="rect">
                      <a:avLst/>
                    </a:prstGeom>
                  </pic:spPr>
                </pic:pic>
              </a:graphicData>
            </a:graphic>
          </wp:inline>
        </w:drawing>
      </w:r>
    </w:p>
    <w:sectPr>
      <w:pgSz w:w="11911" w:h="16838"/>
      <w:pgMar w:top="2098" w:right="1474" w:bottom="1984" w:left="1587" w:header="850" w:footer="1474" w:gutter="0"/>
      <w:cols w:space="0" w:num="1"/>
      <w:rtlGutter w:val="0"/>
      <w:docGrid w:type="lines" w:linePitch="57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E90B4F"/>
    <w:multiLevelType w:val="singleLevel"/>
    <w:tmpl w:val="CBE90B4F"/>
    <w:lvl w:ilvl="0" w:tentative="0">
      <w:start w:val="1"/>
      <w:numFmt w:val="decimal"/>
      <w:suff w:val="nothing"/>
      <w:lvlText w:val="%1."/>
      <w:lvlJc w:val="left"/>
      <w:pPr>
        <w:ind w:left="0" w:firstLine="40"/>
      </w:pPr>
    </w:lvl>
  </w:abstractNum>
  <w:abstractNum w:abstractNumId="1">
    <w:nsid w:val="453FF68F"/>
    <w:multiLevelType w:val="multilevel"/>
    <w:tmpl w:val="453FF68F"/>
    <w:lvl w:ilvl="0" w:tentative="0">
      <w:start w:val="1"/>
      <w:numFmt w:val="chineseCounting"/>
      <w:pStyle w:val="2"/>
      <w:suff w:val="nothing"/>
      <w:lvlText w:val="%1、"/>
      <w:lvlJc w:val="left"/>
      <w:pPr>
        <w:ind w:left="0" w:firstLine="0"/>
      </w:pPr>
      <w:rPr>
        <w:rFonts w:hint="eastAsia" w:ascii="黑体" w:hAnsi="黑体" w:eastAsia="黑体" w:cs="黑体"/>
        <w:b w:val="0"/>
        <w:bCs/>
        <w:sz w:val="32"/>
      </w:rPr>
    </w:lvl>
    <w:lvl w:ilvl="1" w:tentative="0">
      <w:start w:val="1"/>
      <w:numFmt w:val="chineseCounting"/>
      <w:pStyle w:val="3"/>
      <w:suff w:val="nothing"/>
      <w:lvlText w:val="（%2）"/>
      <w:lvlJc w:val="left"/>
      <w:pPr>
        <w:ind w:left="0" w:firstLine="0"/>
      </w:pPr>
      <w:rPr>
        <w:rFonts w:hint="eastAsia"/>
        <w:b w:val="0"/>
        <w:bCs w:val="0"/>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2">
    <w:nsid w:val="502ED649"/>
    <w:multiLevelType w:val="singleLevel"/>
    <w:tmpl w:val="502ED649"/>
    <w:lvl w:ilvl="0" w:tentative="0">
      <w:start w:val="1"/>
      <w:numFmt w:val="decimal"/>
      <w:suff w:val="nothing"/>
      <w:lvlText w:val="%1."/>
      <w:lvlJc w:val="left"/>
      <w:pPr>
        <w:ind w:left="0" w:firstLine="4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trackRevisions w:val="1"/>
  <w:documentProtection w:enforcement="0"/>
  <w:defaultTabStop w:val="720"/>
  <w:drawingGridHorizontalSpacing w:val="220"/>
  <w:drawingGridVerticalSpacing w:val="290"/>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compatSetting w:name="compatibilityMode" w:uri="http://schemas.microsoft.com/office/word" w:val="12"/>
  </w:compat>
  <w:docVars>
    <w:docVar w:name="commondata" w:val="eyJoZGlkIjoiOThhNjMwMTM4NjU5ZWY0MzdlODQ0ZWI3ZjMxNDg0ZGUifQ=="/>
  </w:docVars>
  <w:rsids>
    <w:rsidRoot w:val="00172A27"/>
    <w:rsid w:val="0075545A"/>
    <w:rsid w:val="01133B65"/>
    <w:rsid w:val="040C414F"/>
    <w:rsid w:val="055617D9"/>
    <w:rsid w:val="055B42DF"/>
    <w:rsid w:val="091D43DD"/>
    <w:rsid w:val="09A540BA"/>
    <w:rsid w:val="0C1A1801"/>
    <w:rsid w:val="0F903E4F"/>
    <w:rsid w:val="15815C8A"/>
    <w:rsid w:val="185F3A7E"/>
    <w:rsid w:val="190813C5"/>
    <w:rsid w:val="19DE010A"/>
    <w:rsid w:val="1A76787A"/>
    <w:rsid w:val="1AD516DC"/>
    <w:rsid w:val="1D3F35B6"/>
    <w:rsid w:val="1DD13AA7"/>
    <w:rsid w:val="1F4D6D86"/>
    <w:rsid w:val="23491D45"/>
    <w:rsid w:val="24D22F85"/>
    <w:rsid w:val="25370978"/>
    <w:rsid w:val="273566E0"/>
    <w:rsid w:val="27431F87"/>
    <w:rsid w:val="280B656E"/>
    <w:rsid w:val="2A266299"/>
    <w:rsid w:val="2BC25ADE"/>
    <w:rsid w:val="3799400E"/>
    <w:rsid w:val="3A401E2F"/>
    <w:rsid w:val="3BB77199"/>
    <w:rsid w:val="3C3543E0"/>
    <w:rsid w:val="3E6F5ADD"/>
    <w:rsid w:val="3EEB27FE"/>
    <w:rsid w:val="3FDB6EF1"/>
    <w:rsid w:val="417314C4"/>
    <w:rsid w:val="41883195"/>
    <w:rsid w:val="438556E7"/>
    <w:rsid w:val="44780127"/>
    <w:rsid w:val="49E86A9E"/>
    <w:rsid w:val="4B872CC0"/>
    <w:rsid w:val="4BAA2250"/>
    <w:rsid w:val="4DE244C9"/>
    <w:rsid w:val="510C770C"/>
    <w:rsid w:val="518B63CC"/>
    <w:rsid w:val="52585ABC"/>
    <w:rsid w:val="53972739"/>
    <w:rsid w:val="577F47F5"/>
    <w:rsid w:val="58C12AF6"/>
    <w:rsid w:val="5AD33626"/>
    <w:rsid w:val="61986B56"/>
    <w:rsid w:val="61FC5872"/>
    <w:rsid w:val="624004A9"/>
    <w:rsid w:val="63435CF8"/>
    <w:rsid w:val="64211038"/>
    <w:rsid w:val="6742635A"/>
    <w:rsid w:val="6BEA2426"/>
    <w:rsid w:val="6FC2741E"/>
    <w:rsid w:val="717E18A0"/>
    <w:rsid w:val="726944D6"/>
    <w:rsid w:val="755E341E"/>
    <w:rsid w:val="798657F6"/>
    <w:rsid w:val="7B0E043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_GB2312" w:hAnsi="仿宋_GB2312" w:eastAsia="仿宋_GB2312" w:cs="仿宋_GB2312"/>
      <w:sz w:val="22"/>
      <w:szCs w:val="22"/>
      <w:lang w:val="en-US" w:eastAsia="en-US" w:bidi="ar-SA"/>
    </w:rPr>
  </w:style>
  <w:style w:type="paragraph" w:styleId="2">
    <w:name w:val="heading 1"/>
    <w:basedOn w:val="1"/>
    <w:qFormat/>
    <w:uiPriority w:val="1"/>
    <w:pPr>
      <w:numPr>
        <w:ilvl w:val="0"/>
        <w:numId w:val="1"/>
      </w:numPr>
      <w:autoSpaceDE/>
      <w:autoSpaceDN/>
      <w:spacing w:line="560" w:lineRule="exact"/>
      <w:ind w:right="0"/>
      <w:jc w:val="both"/>
      <w:outlineLvl w:val="0"/>
    </w:pPr>
    <w:rPr>
      <w:rFonts w:ascii="黑体" w:hAnsi="黑体" w:eastAsia="黑体" w:cs="黑体"/>
      <w:sz w:val="32"/>
      <w:szCs w:val="32"/>
    </w:rPr>
  </w:style>
  <w:style w:type="paragraph" w:styleId="3">
    <w:name w:val="heading 2"/>
    <w:basedOn w:val="1"/>
    <w:qFormat/>
    <w:uiPriority w:val="1"/>
    <w:pPr>
      <w:numPr>
        <w:ilvl w:val="1"/>
        <w:numId w:val="1"/>
      </w:numPr>
      <w:spacing w:line="560" w:lineRule="exact"/>
      <w:ind w:left="0" w:firstLine="800" w:firstLineChars="200"/>
      <w:jc w:val="both"/>
      <w:outlineLvl w:val="1"/>
    </w:pPr>
    <w:rPr>
      <w:rFonts w:ascii="楷体_GB2312" w:hAnsi="楷体_GB2312" w:eastAsia="楷体_GB2312" w:cs="楷体_GB2312"/>
      <w:sz w:val="32"/>
      <w:szCs w:val="32"/>
    </w:rPr>
  </w:style>
  <w:style w:type="paragraph" w:styleId="4">
    <w:name w:val="heading 3"/>
    <w:basedOn w:val="1"/>
    <w:qFormat/>
    <w:uiPriority w:val="1"/>
    <w:pPr>
      <w:numPr>
        <w:ilvl w:val="2"/>
        <w:numId w:val="1"/>
      </w:numPr>
      <w:ind w:left="0" w:firstLine="400"/>
      <w:outlineLvl w:val="2"/>
    </w:pPr>
    <w:rPr>
      <w:rFonts w:ascii="仿宋_GB2312" w:hAnsi="仿宋_GB2312" w:eastAsia="仿宋_GB2312" w:cs="仿宋_GB2312"/>
      <w:b/>
      <w:bCs/>
      <w:sz w:val="32"/>
      <w:szCs w:val="32"/>
    </w:rPr>
  </w:style>
  <w:style w:type="paragraph" w:styleId="5">
    <w:name w:val="heading 4"/>
    <w:basedOn w:val="1"/>
    <w:next w:val="1"/>
    <w:unhideWhenUsed/>
    <w:qFormat/>
    <w:uiPriority w:val="0"/>
    <w:pPr>
      <w:keepNext/>
      <w:keepLines/>
      <w:numPr>
        <w:ilvl w:val="3"/>
        <w:numId w:val="1"/>
      </w:numPr>
      <w:spacing w:before="280" w:beforeLines="0" w:beforeAutospacing="0" w:after="290" w:afterLines="0" w:afterAutospacing="0" w:line="372" w:lineRule="auto"/>
      <w:ind w:firstLine="402"/>
      <w:outlineLvl w:val="3"/>
    </w:pPr>
    <w:rPr>
      <w:rFonts w:ascii="Arial" w:hAnsi="Arial" w:eastAsia="黑体"/>
      <w:b/>
      <w:sz w:val="28"/>
    </w:rPr>
  </w:style>
  <w:style w:type="paragraph" w:styleId="6">
    <w:name w:val="heading 5"/>
    <w:basedOn w:val="1"/>
    <w:next w:val="1"/>
    <w:autoRedefine/>
    <w:unhideWhenUsed/>
    <w:qFormat/>
    <w:uiPriority w:val="0"/>
    <w:pPr>
      <w:keepNext/>
      <w:keepLines/>
      <w:numPr>
        <w:ilvl w:val="4"/>
        <w:numId w:val="1"/>
      </w:numPr>
      <w:spacing w:before="280" w:beforeLines="0" w:beforeAutospacing="0" w:after="290" w:afterLines="0" w:afterAutospacing="0" w:line="372" w:lineRule="auto"/>
      <w:ind w:firstLine="402"/>
      <w:outlineLvl w:val="4"/>
    </w:pPr>
    <w:rPr>
      <w:b/>
      <w:sz w:val="28"/>
    </w:rPr>
  </w:style>
  <w:style w:type="paragraph" w:styleId="7">
    <w:name w:val="heading 6"/>
    <w:basedOn w:val="1"/>
    <w:next w:val="1"/>
    <w:autoRedefine/>
    <w:semiHidden/>
    <w:unhideWhenUsed/>
    <w:qFormat/>
    <w:uiPriority w:val="0"/>
    <w:pPr>
      <w:keepNext/>
      <w:keepLines/>
      <w:numPr>
        <w:ilvl w:val="5"/>
        <w:numId w:val="1"/>
      </w:numPr>
      <w:spacing w:before="240" w:beforeLines="0" w:beforeAutospacing="0" w:after="64" w:afterLines="0" w:afterAutospacing="0" w:line="317" w:lineRule="auto"/>
      <w:ind w:firstLine="402"/>
      <w:outlineLvl w:val="5"/>
    </w:pPr>
    <w:rPr>
      <w:rFonts w:ascii="Arial" w:hAnsi="Arial" w:eastAsia="黑体"/>
      <w:b/>
      <w:sz w:val="24"/>
    </w:rPr>
  </w:style>
  <w:style w:type="paragraph" w:styleId="8">
    <w:name w:val="heading 7"/>
    <w:basedOn w:val="1"/>
    <w:next w:val="1"/>
    <w:autoRedefine/>
    <w:semiHidden/>
    <w:unhideWhenUsed/>
    <w:qFormat/>
    <w:uiPriority w:val="0"/>
    <w:pPr>
      <w:keepNext/>
      <w:keepLines/>
      <w:numPr>
        <w:ilvl w:val="6"/>
        <w:numId w:val="1"/>
      </w:numPr>
      <w:spacing w:before="240" w:beforeLines="0" w:beforeAutospacing="0" w:after="64" w:afterLines="0" w:afterAutospacing="0" w:line="317" w:lineRule="auto"/>
      <w:ind w:firstLine="402"/>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outlineLvl w:val="7"/>
    </w:pPr>
    <w:rPr>
      <w:rFonts w:ascii="Arial" w:hAnsi="Arial" w:eastAsia="黑体"/>
      <w:sz w:val="24"/>
    </w:rPr>
  </w:style>
  <w:style w:type="paragraph" w:styleId="10">
    <w:name w:val="heading 9"/>
    <w:basedOn w:val="1"/>
    <w:next w:val="1"/>
    <w:autoRedefine/>
    <w:semiHidden/>
    <w:unhideWhenUsed/>
    <w:qFormat/>
    <w:uiPriority w:val="0"/>
    <w:pPr>
      <w:keepNext/>
      <w:keepLines/>
      <w:numPr>
        <w:ilvl w:val="8"/>
        <w:numId w:val="1"/>
      </w:numPr>
      <w:spacing w:before="240" w:beforeLines="0" w:beforeAutospacing="0" w:after="64" w:afterLines="0" w:afterAutospacing="0" w:line="317" w:lineRule="auto"/>
      <w:ind w:firstLine="402"/>
      <w:outlineLvl w:val="8"/>
    </w:pPr>
    <w:rPr>
      <w:rFonts w:ascii="Arial" w:hAnsi="Arial" w:eastAsia="黑体"/>
      <w:sz w:val="21"/>
    </w:rPr>
  </w:style>
  <w:style w:type="character" w:default="1" w:styleId="13">
    <w:name w:val="Default Paragraph Font"/>
    <w:semiHidden/>
    <w:unhideWhenUsed/>
    <w:qFormat/>
    <w:uiPriority w:val="1"/>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11">
    <w:name w:val="Body Text"/>
    <w:basedOn w:val="1"/>
    <w:autoRedefine/>
    <w:qFormat/>
    <w:uiPriority w:val="1"/>
    <w:pPr>
      <w:spacing w:line="560" w:lineRule="exact"/>
      <w:ind w:firstLine="880" w:firstLineChars="200"/>
      <w:jc w:val="both"/>
    </w:pPr>
    <w:rPr>
      <w:sz w:val="32"/>
      <w:szCs w:val="32"/>
    </w:rPr>
  </w:style>
  <w:style w:type="table" w:customStyle="1" w:styleId="14">
    <w:name w:val="Table Normal"/>
    <w:autoRedefine/>
    <w:semiHidden/>
    <w:unhideWhenUsed/>
    <w:qFormat/>
    <w:uiPriority w:val="2"/>
    <w:tblPr>
      <w:tblCellMar>
        <w:top w:w="0" w:type="dxa"/>
        <w:left w:w="0" w:type="dxa"/>
        <w:bottom w:w="0" w:type="dxa"/>
        <w:right w:w="0" w:type="dxa"/>
      </w:tblCellMar>
    </w:tblPr>
  </w:style>
  <w:style w:type="paragraph" w:styleId="15">
    <w:name w:val="List Paragraph"/>
    <w:basedOn w:val="1"/>
    <w:autoRedefine/>
    <w:qFormat/>
    <w:uiPriority w:val="1"/>
  </w:style>
  <w:style w:type="paragraph" w:customStyle="1" w:styleId="16">
    <w:name w:val="Table Paragraph"/>
    <w:basedOn w:val="1"/>
    <w:autoRedefine/>
    <w:qFormat/>
    <w:uiPriority w:val="1"/>
    <w:rPr>
      <w:rFonts w:ascii="仿宋_GB2312" w:hAnsi="仿宋_GB2312" w:eastAsia="仿宋_GB2312" w:cs="仿宋_GB231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3421</Words>
  <Characters>3645</Characters>
  <TotalTime>141</TotalTime>
  <ScaleCrop>false</ScaleCrop>
  <LinksUpToDate>false</LinksUpToDate>
  <CharactersWithSpaces>3647</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2025-06-06T02:20:00Z</dcterms:created>
  <dc:creator>81423</dc:creator>
  <cp:lastModifiedBy>ctrl+a</cp:lastModifiedBy>
  <dcterms:modified xsi:type="dcterms:W3CDTF">2025-06-06T08:58:49Z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2024-11-01T00:00:00Z</vt:filetime>
  </property>
  <property fmtid="{D5CDD505-2E9C-101B-9397-08002B2CF9AE}" pid="3" name="Creator">
    <vt:lpwstr>WPS 文字</vt:lpwstr>
  </property>
  <property fmtid="{D5CDD505-2E9C-101B-9397-08002B2CF9AE}" pid="4" name="LastSaved">
    <vt:filetime>2025-06-06T00:00:00Z</vt:filetime>
  </property>
  <property fmtid="{D5CDD505-2E9C-101B-9397-08002B2CF9AE}" pid="5" name="KSOTemplateDocerSaveRecord">
    <vt:lpwstr>eyJoZGlkIjoiYjhkMzhmZjNlNWY2MWFhYmExM2RiNGQ4ODU4ZWRjN2YiLCJ1c2VySWQiOiIyOTEwNDQxMDQifQ==</vt:lpwstr>
  </property>
  <property fmtid="{D5CDD505-2E9C-101B-9397-08002B2CF9AE}" pid="6" name="KSOProductBuildVer">
    <vt:lpwstr>2052-12.1.0.16120</vt:lpwstr>
  </property>
  <property fmtid="{D5CDD505-2E9C-101B-9397-08002B2CF9AE}" pid="7" name="ICV">
    <vt:lpwstr>690C8F8F47194AB4B40901E05D473BA0_12</vt:lpwstr>
  </property>
</Properties>
</file>