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1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第五次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全县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经济普查公报（第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号）</w:t>
      </w:r>
    </w:p>
    <w:p w14:paraId="4D66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——分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单位和从业人员情况</w:t>
      </w:r>
    </w:p>
    <w:p w14:paraId="5BFF9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  <w:t>翁源县统计局</w:t>
      </w:r>
    </w:p>
    <w:p w14:paraId="02DF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  <w:t>翁源县第五次全县经济普查领导小组办公室</w:t>
      </w:r>
    </w:p>
    <w:p w14:paraId="7F32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highlight w:val="none"/>
          <w:lang w:val="en-US" w:eastAsia="zh-CN" w:bidi="ar-SA"/>
        </w:rPr>
        <w:t>（2025年6月19日）</w:t>
      </w:r>
    </w:p>
    <w:p w14:paraId="356ED5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5EC035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根据第五次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经济普查结果，现将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的第二产业和第三产业单位及从业人员基本情况公布如下：</w:t>
      </w:r>
    </w:p>
    <w:p w14:paraId="00520A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单位情况</w:t>
      </w:r>
    </w:p>
    <w:p w14:paraId="7886E6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全县8个镇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拥有第二产业和第三产业法人单位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分别为：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龙仙镇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%；坝仔镇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%；江尾镇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%；官渡镇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%；周陂镇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%；翁城镇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%；新江镇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%；铁龙镇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 w14:paraId="770E0E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　　2023年末，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全县8个镇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拥有第二产业和第三产业产业活动单位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分别为：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龙仙镇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2181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%；坝仔镇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%；江尾镇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%；官渡镇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%；周陂镇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%；翁城镇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%；新江镇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%；铁龙镇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个，占全县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 w14:paraId="0A56CF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分组的单位情况详见表7-1。</w:t>
      </w:r>
    </w:p>
    <w:p w14:paraId="1C76F5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表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7-1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　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分组的法人单位数和产业活动单位数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572"/>
        <w:gridCol w:w="1590"/>
        <w:gridCol w:w="1572"/>
        <w:gridCol w:w="1628"/>
      </w:tblGrid>
      <w:tr w14:paraId="6C2243DA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306" w:type="dxa"/>
            <w:gridSpan w:val="5"/>
            <w:tcBorders>
              <w:bottom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righ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 </w:t>
            </w:r>
          </w:p>
        </w:tc>
      </w:tr>
      <w:tr w14:paraId="058BB5E8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vMerge w:val="restart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CB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 </w:t>
            </w:r>
          </w:p>
        </w:tc>
        <w:tc>
          <w:tcPr>
            <w:tcW w:w="316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A7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法人单位</w:t>
            </w:r>
          </w:p>
        </w:tc>
        <w:tc>
          <w:tcPr>
            <w:tcW w:w="320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4B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产业活动单位</w:t>
            </w:r>
          </w:p>
        </w:tc>
      </w:tr>
      <w:tr w14:paraId="43F8122E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vMerge w:val="continue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81F1">
            <w:pPr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9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数量（个）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5D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比重（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F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数量（个）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6C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5" w:right="57" w:hanging="55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比重（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）</w:t>
            </w:r>
          </w:p>
        </w:tc>
      </w:tr>
      <w:tr w14:paraId="510C459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AA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leftChars="0" w:right="57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合　计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12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4703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AB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100.0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D4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5128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1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100.0</w:t>
            </w:r>
          </w:p>
        </w:tc>
      </w:tr>
      <w:tr w14:paraId="623A722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70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龙仙镇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4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1950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7A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41.5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F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2181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6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42.5</w:t>
            </w:r>
          </w:p>
        </w:tc>
      </w:tr>
      <w:tr w14:paraId="44B7457F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4B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坝仔镇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C8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485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A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10.3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8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529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7E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10.3</w:t>
            </w:r>
          </w:p>
        </w:tc>
      </w:tr>
      <w:tr w14:paraId="68FF608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BA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江尾镇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7E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463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80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9.8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F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491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12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9.6</w:t>
            </w:r>
          </w:p>
        </w:tc>
      </w:tr>
      <w:tr w14:paraId="40591D6E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E5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官渡镇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B4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508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B3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10.8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9B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549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3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10.6</w:t>
            </w:r>
          </w:p>
        </w:tc>
      </w:tr>
      <w:tr w14:paraId="1881E67F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DB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周陂镇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95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394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0F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8.4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0E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418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9C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8.2</w:t>
            </w:r>
          </w:p>
        </w:tc>
      </w:tr>
      <w:tr w14:paraId="1319304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4A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翁城镇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3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438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6C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9.3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2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470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38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9.2</w:t>
            </w:r>
          </w:p>
        </w:tc>
      </w:tr>
      <w:tr w14:paraId="666E722D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07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新江镇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C4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380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82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8.1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77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B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7.8</w:t>
            </w:r>
          </w:p>
        </w:tc>
      </w:tr>
      <w:tr w14:paraId="588F37C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944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42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铁龙镇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5E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  <w:tc>
          <w:tcPr>
            <w:tcW w:w="159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38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1.8</w:t>
            </w:r>
          </w:p>
        </w:tc>
        <w:tc>
          <w:tcPr>
            <w:tcW w:w="1572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09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1628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40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1.8</w:t>
            </w:r>
          </w:p>
        </w:tc>
      </w:tr>
    </w:tbl>
    <w:p w14:paraId="773D3D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 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从业人员</w:t>
      </w:r>
    </w:p>
    <w:p w14:paraId="7AF93C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2023年末，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全县8个镇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第二产业和第三产业法人单位从业人员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分别为：龙仙镇23726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坝仔镇1365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个百分点；江尾镇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官渡镇7301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提高0.1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周陂镇857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翁城镇8553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提高7.2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个百分点；新江镇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铁龙镇921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人，占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%，比2018年末下降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个百分点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F784F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　在第二产业和第三产业法人单位从业人员中，位居前三位的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龙仙镇、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翁城镇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官渡镇。</w:t>
      </w:r>
    </w:p>
    <w:p w14:paraId="4D6BB5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　　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分组的法人单位从业人员情况详见表7-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48B879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75C11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表7-2　按镇分组的法人单位从业人员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0"/>
        <w:gridCol w:w="2786"/>
        <w:gridCol w:w="2800"/>
      </w:tblGrid>
      <w:tr w14:paraId="62BECB95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vMerge w:val="restart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6E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 </w:t>
            </w:r>
          </w:p>
        </w:tc>
        <w:tc>
          <w:tcPr>
            <w:tcW w:w="278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C4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法人单位从业人员</w:t>
            </w:r>
          </w:p>
          <w:p w14:paraId="31C9E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（人）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0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 </w:t>
            </w:r>
          </w:p>
        </w:tc>
      </w:tr>
      <w:tr w14:paraId="0BA819B8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vMerge w:val="continue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BA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48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05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其中：女性（人）</w:t>
            </w:r>
          </w:p>
        </w:tc>
      </w:tr>
      <w:tr w14:paraId="6C249154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3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211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合　计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FA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46319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02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21007</w:t>
            </w:r>
          </w:p>
        </w:tc>
      </w:tr>
      <w:tr w14:paraId="1C84BBDD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9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龙仙镇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2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23726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7F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10788</w:t>
            </w:r>
          </w:p>
        </w:tc>
      </w:tr>
      <w:tr w14:paraId="5B8E1DDC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0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坝仔镇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52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1365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D0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710</w:t>
            </w:r>
          </w:p>
        </w:tc>
      </w:tr>
      <w:tr w14:paraId="67315A8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4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江尾镇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8B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1662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C3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806</w:t>
            </w:r>
          </w:p>
        </w:tc>
      </w:tr>
      <w:tr w14:paraId="2164ABB4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B3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官渡镇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26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7301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21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3357</w:t>
            </w:r>
          </w:p>
        </w:tc>
      </w:tr>
      <w:tr w14:paraId="42AE5C5D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21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周陂镇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E9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857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E8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394</w:t>
            </w:r>
          </w:p>
        </w:tc>
      </w:tr>
      <w:tr w14:paraId="3C539A25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79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翁城镇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9C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8553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7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3616</w:t>
            </w:r>
          </w:p>
        </w:tc>
      </w:tr>
      <w:tr w14:paraId="3649F37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AD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新江镇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4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1934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0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1063</w:t>
            </w:r>
          </w:p>
        </w:tc>
      </w:tr>
      <w:tr w14:paraId="17292A4A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20" w:type="dxa"/>
            <w:tcBorders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12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57" w:rightChars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铁龙镇</w:t>
            </w:r>
          </w:p>
        </w:tc>
        <w:tc>
          <w:tcPr>
            <w:tcW w:w="278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A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921</w:t>
            </w:r>
          </w:p>
        </w:tc>
        <w:tc>
          <w:tcPr>
            <w:tcW w:w="2800" w:type="dxa"/>
            <w:tcBorders>
              <w:lef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2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105"/>
              <w:jc w:val="right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273</w:t>
            </w:r>
          </w:p>
        </w:tc>
      </w:tr>
    </w:tbl>
    <w:p w14:paraId="75414157">
      <w:pPr>
        <w:numPr>
          <w:ilvl w:val="0"/>
          <w:numId w:val="0"/>
        </w:numPr>
        <w:ind w:left="652" w:leftChars="0"/>
        <w:rPr>
          <w:rFonts w:hint="eastAsia" w:ascii="仿宋" w:hAnsi="仿宋" w:eastAsia="仿宋" w:cs="仿宋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7F0"/>
    <w:rsid w:val="01FE2930"/>
    <w:rsid w:val="023F66B6"/>
    <w:rsid w:val="027A4316"/>
    <w:rsid w:val="041519CE"/>
    <w:rsid w:val="07CF4038"/>
    <w:rsid w:val="09A471F6"/>
    <w:rsid w:val="0A5A4901"/>
    <w:rsid w:val="0A6A0048"/>
    <w:rsid w:val="108D4A90"/>
    <w:rsid w:val="10AF51B1"/>
    <w:rsid w:val="11940D0B"/>
    <w:rsid w:val="14D00E11"/>
    <w:rsid w:val="15F37C62"/>
    <w:rsid w:val="16CC398B"/>
    <w:rsid w:val="170D37E1"/>
    <w:rsid w:val="172D2B29"/>
    <w:rsid w:val="178C18CC"/>
    <w:rsid w:val="19B27315"/>
    <w:rsid w:val="1BC00A1E"/>
    <w:rsid w:val="1C8B46A8"/>
    <w:rsid w:val="1F703EFB"/>
    <w:rsid w:val="1FC52084"/>
    <w:rsid w:val="1FC94AD2"/>
    <w:rsid w:val="20906141"/>
    <w:rsid w:val="20AE70BD"/>
    <w:rsid w:val="22497C84"/>
    <w:rsid w:val="22C07DB6"/>
    <w:rsid w:val="23A71745"/>
    <w:rsid w:val="27007093"/>
    <w:rsid w:val="27385849"/>
    <w:rsid w:val="280B3AA1"/>
    <w:rsid w:val="2813790E"/>
    <w:rsid w:val="281F2148"/>
    <w:rsid w:val="28D728F5"/>
    <w:rsid w:val="2D6818A3"/>
    <w:rsid w:val="304F147C"/>
    <w:rsid w:val="30E262DA"/>
    <w:rsid w:val="354B444E"/>
    <w:rsid w:val="35BA7826"/>
    <w:rsid w:val="36037561"/>
    <w:rsid w:val="373133BA"/>
    <w:rsid w:val="374E11AC"/>
    <w:rsid w:val="37A367C3"/>
    <w:rsid w:val="37B87D95"/>
    <w:rsid w:val="382A45EF"/>
    <w:rsid w:val="3C591B47"/>
    <w:rsid w:val="3CA408E8"/>
    <w:rsid w:val="3D37000E"/>
    <w:rsid w:val="3DC6215B"/>
    <w:rsid w:val="40132A12"/>
    <w:rsid w:val="41EF7EE0"/>
    <w:rsid w:val="43195B8C"/>
    <w:rsid w:val="43B8265B"/>
    <w:rsid w:val="4464633B"/>
    <w:rsid w:val="44840FB7"/>
    <w:rsid w:val="4679477B"/>
    <w:rsid w:val="486D0FC8"/>
    <w:rsid w:val="4D0074F7"/>
    <w:rsid w:val="4DD41ED2"/>
    <w:rsid w:val="51E11F6A"/>
    <w:rsid w:val="53EC4A78"/>
    <w:rsid w:val="54824775"/>
    <w:rsid w:val="54A557A9"/>
    <w:rsid w:val="565A6D84"/>
    <w:rsid w:val="57503A0E"/>
    <w:rsid w:val="5773050F"/>
    <w:rsid w:val="58C44539"/>
    <w:rsid w:val="5CCC4DEE"/>
    <w:rsid w:val="5EBA4CA6"/>
    <w:rsid w:val="622E16C6"/>
    <w:rsid w:val="6444493B"/>
    <w:rsid w:val="64D66FE7"/>
    <w:rsid w:val="65363F24"/>
    <w:rsid w:val="65A74CE3"/>
    <w:rsid w:val="65F77380"/>
    <w:rsid w:val="66BF17D0"/>
    <w:rsid w:val="6811226C"/>
    <w:rsid w:val="69F617FF"/>
    <w:rsid w:val="69F767C2"/>
    <w:rsid w:val="6B0F6BAA"/>
    <w:rsid w:val="6BDB661A"/>
    <w:rsid w:val="70871AD7"/>
    <w:rsid w:val="70E05B60"/>
    <w:rsid w:val="71B4105D"/>
    <w:rsid w:val="74076C48"/>
    <w:rsid w:val="75243D99"/>
    <w:rsid w:val="755F1275"/>
    <w:rsid w:val="75611E78"/>
    <w:rsid w:val="75732431"/>
    <w:rsid w:val="75907680"/>
    <w:rsid w:val="75BE01A2"/>
    <w:rsid w:val="766F3739"/>
    <w:rsid w:val="76E32BCF"/>
    <w:rsid w:val="7C6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1183</Characters>
  <Lines>0</Lines>
  <Paragraphs>0</Paragraphs>
  <TotalTime>3</TotalTime>
  <ScaleCrop>false</ScaleCrop>
  <LinksUpToDate>false</LinksUpToDate>
  <CharactersWithSpaces>1204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2025-01-09T07:42:00Z</dcterms:created>
  <dc:creator>TF</dc:creator>
  <cp:lastModifiedBy>敏招赟泽彻</cp:lastModifiedBy>
  <cp:lastPrinted>2025-05-26T09:10:00Z</cp:lastPrinted>
  <dcterms:modified xsi:type="dcterms:W3CDTF">2025-07-03T08:44:25Z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eyJoZGlkIjoiMmQzMDFlMWRmYWQxZWVlODM3ZTg3OTlhOGU4NTE5MmMiLCJ1c2VySWQiOiI5MjA5MDIyMzQifQ==</vt:lpwstr>
  </property>
  <property fmtid="{D5CDD505-2E9C-101B-9397-08002B2CF9AE}" pid="4" name="ICV">
    <vt:lpwstr>B65BE446B40F43878306C691471ACB1C_12</vt:lpwstr>
  </property>
</Properties>
</file>