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A81A3">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翁源县第五次全国经济普查公报（第</w:t>
      </w:r>
      <w:r>
        <w:rPr>
          <w:rFonts w:hint="eastAsia" w:ascii="方正小标宋简体" w:hAnsi="方正小标宋简体" w:eastAsia="方正小标宋简体" w:cs="方正小标宋简体"/>
          <w:b w:val="0"/>
          <w:bCs/>
          <w:sz w:val="44"/>
          <w:szCs w:val="44"/>
          <w:lang w:val="en-US" w:eastAsia="zh-CN"/>
        </w:rPr>
        <w:t>五</w:t>
      </w:r>
      <w:r>
        <w:rPr>
          <w:rFonts w:hint="eastAsia" w:ascii="方正小标宋简体" w:hAnsi="方正小标宋简体" w:eastAsia="方正小标宋简体" w:cs="方正小标宋简体"/>
          <w:b w:val="0"/>
          <w:bCs/>
          <w:sz w:val="44"/>
          <w:szCs w:val="44"/>
          <w:lang w:eastAsia="zh-CN"/>
        </w:rPr>
        <w:t>号）</w:t>
      </w:r>
    </w:p>
    <w:p w14:paraId="2CC0B363">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——第三产业基本情况之</w:t>
      </w:r>
      <w:r>
        <w:rPr>
          <w:rFonts w:hint="eastAsia" w:ascii="方正小标宋简体" w:hAnsi="方正小标宋简体" w:eastAsia="方正小标宋简体" w:cs="方正小标宋简体"/>
          <w:b w:val="0"/>
          <w:bCs/>
          <w:sz w:val="44"/>
          <w:szCs w:val="44"/>
          <w:lang w:val="en-US" w:eastAsia="zh-CN"/>
        </w:rPr>
        <w:t>二</w:t>
      </w:r>
    </w:p>
    <w:p w14:paraId="4B008548">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楷体_GB2312" w:hAnsi="楷体_GB2312" w:eastAsia="楷体_GB2312" w:cs="楷体_GB2312"/>
          <w:color w:val="0C0C0C"/>
          <w:kern w:val="2"/>
          <w:sz w:val="30"/>
          <w:szCs w:val="30"/>
          <w:lang w:val="en-US" w:eastAsia="zh-CN" w:bidi="ar-SA"/>
        </w:rPr>
      </w:pPr>
      <w:r>
        <w:rPr>
          <w:rFonts w:hint="eastAsia" w:ascii="楷体_GB2312" w:hAnsi="楷体_GB2312" w:eastAsia="楷体_GB2312" w:cs="楷体_GB2312"/>
          <w:color w:val="0C0C0C"/>
          <w:kern w:val="2"/>
          <w:sz w:val="30"/>
          <w:szCs w:val="30"/>
          <w:lang w:val="en-US" w:eastAsia="zh-CN" w:bidi="ar-SA"/>
        </w:rPr>
        <w:t>翁源县统计局</w:t>
      </w:r>
    </w:p>
    <w:p w14:paraId="1E9BC4BA">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楷体_GB2312" w:hAnsi="楷体_GB2312" w:eastAsia="楷体_GB2312" w:cs="楷体_GB2312"/>
          <w:color w:val="0C0C0C"/>
          <w:kern w:val="2"/>
          <w:sz w:val="30"/>
          <w:szCs w:val="30"/>
          <w:lang w:val="en-US" w:eastAsia="zh-CN" w:bidi="ar-SA"/>
        </w:rPr>
      </w:pPr>
      <w:r>
        <w:rPr>
          <w:rFonts w:hint="eastAsia" w:ascii="楷体_GB2312" w:hAnsi="楷体_GB2312" w:eastAsia="楷体_GB2312" w:cs="楷体_GB2312"/>
          <w:color w:val="0C0C0C"/>
          <w:kern w:val="2"/>
          <w:sz w:val="30"/>
          <w:szCs w:val="30"/>
          <w:lang w:val="en-US" w:eastAsia="zh-CN" w:bidi="ar-SA"/>
        </w:rPr>
        <w:t>翁源县第五次全国经济普查领导小组办公室</w:t>
      </w:r>
    </w:p>
    <w:p w14:paraId="7614E3C1">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楷体_GB2312" w:hAnsi="楷体_GB2312" w:eastAsia="楷体_GB2312" w:cs="楷体_GB2312"/>
          <w:color w:val="0C0C0C"/>
          <w:kern w:val="2"/>
          <w:sz w:val="30"/>
          <w:szCs w:val="30"/>
          <w:lang w:val="en-US" w:eastAsia="zh-CN" w:bidi="ar-SA"/>
        </w:rPr>
      </w:pPr>
      <w:r>
        <w:rPr>
          <w:rFonts w:hint="eastAsia" w:ascii="楷体_GB2312" w:hAnsi="楷体_GB2312" w:eastAsia="楷体_GB2312" w:cs="楷体_GB2312"/>
          <w:color w:val="0C0C0C"/>
          <w:kern w:val="2"/>
          <w:sz w:val="30"/>
          <w:szCs w:val="30"/>
          <w:lang w:val="en-US" w:eastAsia="zh-CN" w:bidi="ar-SA"/>
        </w:rPr>
        <w:t>（2025年6月19日）</w:t>
      </w:r>
    </w:p>
    <w:p w14:paraId="242055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　</w:t>
      </w:r>
    </w:p>
    <w:p w14:paraId="5221D1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根据第五次全国经济普查结果，现将我</w:t>
      </w: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第三产业中科学研究和技术服务业，水利、环境和公共设施管理业，居民服务、修理和其他服务业，教育，卫生和社会工作，文化、体育和娱乐业，公共管理、社会保障和社会组织的主要数据公布如下：</w:t>
      </w:r>
    </w:p>
    <w:p w14:paraId="7A978335">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val="0"/>
          <w:i w:val="0"/>
          <w:iCs w:val="0"/>
          <w:caps w:val="0"/>
          <w:color w:val="auto"/>
          <w:spacing w:val="0"/>
          <w:sz w:val="32"/>
          <w:szCs w:val="32"/>
          <w:shd w:val="clear" w:color="auto" w:fill="FFFFFF"/>
        </w:rPr>
      </w:pPr>
      <w:r>
        <w:rPr>
          <w:rFonts w:hint="eastAsia" w:ascii="黑体" w:hAnsi="黑体" w:eastAsia="黑体" w:cs="黑体"/>
          <w:b w:val="0"/>
          <w:bCs w:val="0"/>
          <w:i w:val="0"/>
          <w:iCs w:val="0"/>
          <w:caps w:val="0"/>
          <w:color w:val="auto"/>
          <w:spacing w:val="0"/>
          <w:sz w:val="32"/>
          <w:szCs w:val="32"/>
          <w:shd w:val="clear" w:color="auto" w:fill="FFFFFF"/>
        </w:rPr>
        <w:t>科学研究和技术服务业</w:t>
      </w:r>
    </w:p>
    <w:p w14:paraId="0B2A6529">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楷体_GB2312" w:hAnsi="楷体_GB2312" w:eastAsia="楷体_GB2312" w:cs="楷体_GB2312"/>
          <w:i w:val="0"/>
          <w:iCs w:val="0"/>
          <w:caps w:val="0"/>
          <w:color w:val="auto"/>
          <w:spacing w:val="0"/>
          <w:sz w:val="32"/>
          <w:szCs w:val="32"/>
          <w:shd w:val="clear" w:color="auto" w:fill="FFFFFF"/>
        </w:rPr>
      </w:pPr>
      <w:r>
        <w:rPr>
          <w:rFonts w:hint="eastAsia" w:ascii="楷体_GB2312" w:hAnsi="楷体_GB2312" w:eastAsia="楷体_GB2312" w:cs="楷体_GB2312"/>
          <w:i w:val="0"/>
          <w:iCs w:val="0"/>
          <w:caps w:val="0"/>
          <w:color w:val="auto"/>
          <w:spacing w:val="0"/>
          <w:sz w:val="32"/>
          <w:szCs w:val="32"/>
          <w:shd w:val="clear" w:color="auto" w:fill="FFFFFF"/>
        </w:rPr>
        <w:t>法人单位数和从业人员</w:t>
      </w:r>
    </w:p>
    <w:p w14:paraId="40F7C0A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2023年末，全</w:t>
      </w:r>
      <w:r>
        <w:rPr>
          <w:rFonts w:hint="eastAsia" w:ascii="仿宋_GB2312" w:hAnsi="仿宋_GB2312" w:eastAsia="仿宋_GB2312" w:cs="仿宋_GB2312"/>
          <w:i w:val="0"/>
          <w:iCs w:val="0"/>
          <w:caps w:val="0"/>
          <w:color w:val="auto"/>
          <w:spacing w:val="0"/>
          <w:sz w:val="32"/>
          <w:szCs w:val="32"/>
          <w:highlight w:val="none"/>
          <w:shd w:val="clear" w:fill="FFFFFF"/>
          <w:lang w:eastAsia="zh-CN"/>
        </w:rPr>
        <w:t>县</w:t>
      </w:r>
      <w:r>
        <w:rPr>
          <w:rFonts w:hint="eastAsia" w:ascii="仿宋_GB2312" w:hAnsi="仿宋_GB2312" w:eastAsia="仿宋_GB2312" w:cs="仿宋_GB2312"/>
          <w:i w:val="0"/>
          <w:iCs w:val="0"/>
          <w:caps w:val="0"/>
          <w:color w:val="auto"/>
          <w:spacing w:val="0"/>
          <w:sz w:val="32"/>
          <w:szCs w:val="32"/>
          <w:highlight w:val="none"/>
          <w:shd w:val="clear" w:fill="FFFFFF"/>
        </w:rPr>
        <w:t>共有科学研究和技术服务业法人单位</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86</w:t>
      </w:r>
      <w:r>
        <w:rPr>
          <w:rFonts w:hint="eastAsia" w:ascii="仿宋_GB2312" w:hAnsi="仿宋_GB2312" w:eastAsia="仿宋_GB2312" w:cs="仿宋_GB2312"/>
          <w:i w:val="0"/>
          <w:iCs w:val="0"/>
          <w:caps w:val="0"/>
          <w:color w:val="auto"/>
          <w:spacing w:val="0"/>
          <w:sz w:val="32"/>
          <w:szCs w:val="32"/>
          <w:highlight w:val="none"/>
          <w:shd w:val="clear" w:fill="FFFFFF"/>
        </w:rPr>
        <w:t>个，从业人员</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481</w:t>
      </w:r>
      <w:r>
        <w:rPr>
          <w:rFonts w:hint="eastAsia" w:ascii="仿宋_GB2312" w:hAnsi="仿宋_GB2312" w:eastAsia="仿宋_GB2312" w:cs="仿宋_GB2312"/>
          <w:i w:val="0"/>
          <w:iCs w:val="0"/>
          <w:caps w:val="0"/>
          <w:color w:val="auto"/>
          <w:spacing w:val="0"/>
          <w:sz w:val="32"/>
          <w:szCs w:val="32"/>
          <w:highlight w:val="none"/>
          <w:shd w:val="clear" w:fill="FFFFFF"/>
        </w:rPr>
        <w:t>人，分别比2018年末增长</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65.4</w:t>
      </w:r>
      <w:r>
        <w:rPr>
          <w:rFonts w:hint="eastAsia" w:ascii="仿宋_GB2312" w:hAnsi="仿宋_GB2312" w:eastAsia="仿宋_GB2312" w:cs="仿宋_GB2312"/>
          <w:i w:val="0"/>
          <w:iCs w:val="0"/>
          <w:caps w:val="0"/>
          <w:color w:val="auto"/>
          <w:spacing w:val="0"/>
          <w:sz w:val="32"/>
          <w:szCs w:val="32"/>
          <w:highlight w:val="none"/>
          <w:shd w:val="clear" w:fill="FFFFFF"/>
        </w:rPr>
        <w:t>%和</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104.7</w:t>
      </w:r>
      <w:r>
        <w:rPr>
          <w:rFonts w:hint="eastAsia" w:ascii="仿宋_GB2312" w:hAnsi="仿宋_GB2312" w:eastAsia="仿宋_GB2312" w:cs="仿宋_GB2312"/>
          <w:i w:val="0"/>
          <w:iCs w:val="0"/>
          <w:caps w:val="0"/>
          <w:color w:val="auto"/>
          <w:spacing w:val="0"/>
          <w:sz w:val="32"/>
          <w:szCs w:val="32"/>
          <w:highlight w:val="none"/>
          <w:shd w:val="clear" w:fill="FFFFFF"/>
        </w:rPr>
        <w:t>%。其中，企业法人单位</w:t>
      </w:r>
      <w:r>
        <w:rPr>
          <w:rFonts w:hint="eastAsia" w:ascii="仿宋_GB2312" w:hAnsi="仿宋_GB2312" w:eastAsia="仿宋_GB2312" w:cs="仿宋_GB2312"/>
          <w:i w:val="0"/>
          <w:iCs w:val="0"/>
          <w:caps w:val="0"/>
          <w:color w:val="auto"/>
          <w:spacing w:val="0"/>
          <w:sz w:val="32"/>
          <w:szCs w:val="32"/>
          <w:shd w:val="clear" w:fill="FFFFFF"/>
          <w:vertAlign w:val="superscript"/>
        </w:rPr>
        <w:t>[1]</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80</w:t>
      </w:r>
      <w:r>
        <w:rPr>
          <w:rFonts w:hint="eastAsia" w:ascii="仿宋_GB2312" w:hAnsi="仿宋_GB2312" w:eastAsia="仿宋_GB2312" w:cs="仿宋_GB2312"/>
          <w:i w:val="0"/>
          <w:iCs w:val="0"/>
          <w:caps w:val="0"/>
          <w:color w:val="auto"/>
          <w:spacing w:val="0"/>
          <w:sz w:val="32"/>
          <w:szCs w:val="32"/>
          <w:highlight w:val="none"/>
          <w:shd w:val="clear" w:fill="FFFFFF"/>
        </w:rPr>
        <w:t>个，</w:t>
      </w:r>
      <w:r>
        <w:rPr>
          <w:rFonts w:hint="eastAsia" w:ascii="仿宋_GB2312" w:hAnsi="仿宋_GB2312" w:eastAsia="仿宋_GB2312" w:cs="仿宋_GB2312"/>
          <w:i w:val="0"/>
          <w:iCs w:val="0"/>
          <w:caps w:val="0"/>
          <w:color w:val="auto"/>
          <w:spacing w:val="0"/>
          <w:sz w:val="32"/>
          <w:szCs w:val="32"/>
          <w:highlight w:val="none"/>
          <w:shd w:val="clear" w:color="auto" w:fill="FFFFFF"/>
        </w:rPr>
        <w:t>从业人员</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442</w:t>
      </w:r>
      <w:r>
        <w:rPr>
          <w:rFonts w:hint="eastAsia" w:ascii="仿宋_GB2312" w:hAnsi="仿宋_GB2312" w:eastAsia="仿宋_GB2312" w:cs="仿宋_GB2312"/>
          <w:i w:val="0"/>
          <w:iCs w:val="0"/>
          <w:caps w:val="0"/>
          <w:color w:val="auto"/>
          <w:spacing w:val="0"/>
          <w:sz w:val="32"/>
          <w:szCs w:val="32"/>
          <w:highlight w:val="none"/>
          <w:shd w:val="clear" w:color="auto" w:fill="FFFFFF"/>
        </w:rPr>
        <w:t>人，分别比2018年末增长</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60</w:t>
      </w:r>
      <w:r>
        <w:rPr>
          <w:rFonts w:hint="eastAsia" w:ascii="仿宋_GB2312" w:hAnsi="仿宋_GB2312" w:eastAsia="仿宋_GB2312" w:cs="仿宋_GB2312"/>
          <w:i w:val="0"/>
          <w:iCs w:val="0"/>
          <w:caps w:val="0"/>
          <w:color w:val="auto"/>
          <w:spacing w:val="0"/>
          <w:sz w:val="32"/>
          <w:szCs w:val="32"/>
          <w:highlight w:val="none"/>
          <w:shd w:val="clear" w:color="auto" w:fill="FFFFFF"/>
        </w:rPr>
        <w:t>%和</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92.2</w:t>
      </w:r>
      <w:r>
        <w:rPr>
          <w:rFonts w:hint="eastAsia" w:ascii="仿宋_GB2312" w:hAnsi="仿宋_GB2312" w:eastAsia="仿宋_GB2312" w:cs="仿宋_GB2312"/>
          <w:i w:val="0"/>
          <w:iCs w:val="0"/>
          <w:caps w:val="0"/>
          <w:color w:val="auto"/>
          <w:spacing w:val="0"/>
          <w:sz w:val="32"/>
          <w:szCs w:val="32"/>
          <w:highlight w:val="none"/>
          <w:shd w:val="clear" w:color="auto" w:fill="FFFFFF"/>
        </w:rPr>
        <w:t>%。（详见表5-1）</w:t>
      </w:r>
      <w:r>
        <w:rPr>
          <w:rFonts w:hint="eastAsia" w:ascii="仿宋_GB2312" w:hAnsi="仿宋_GB2312" w:eastAsia="仿宋_GB2312" w:cs="仿宋_GB2312"/>
          <w:i w:val="0"/>
          <w:iCs w:val="0"/>
          <w:caps w:val="0"/>
          <w:color w:val="auto"/>
          <w:spacing w:val="0"/>
          <w:sz w:val="32"/>
          <w:szCs w:val="32"/>
          <w:highlight w:val="none"/>
          <w:shd w:val="clear" w:fill="FFFFFF"/>
        </w:rPr>
        <w:t>。</w:t>
      </w:r>
    </w:p>
    <w:p w14:paraId="5F7E384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auto"/>
          <w:spacing w:val="0"/>
          <w:sz w:val="24"/>
          <w:szCs w:val="24"/>
        </w:rPr>
      </w:pPr>
      <w:r>
        <w:rPr>
          <w:rFonts w:hint="default" w:ascii="Times New Roman" w:hAnsi="Times New Roman" w:cs="Times New Roman"/>
          <w:i w:val="0"/>
          <w:iCs w:val="0"/>
          <w:caps w:val="0"/>
          <w:color w:val="auto"/>
          <w:spacing w:val="0"/>
          <w:sz w:val="24"/>
          <w:szCs w:val="24"/>
          <w:shd w:val="clear" w:fill="FFFFFF"/>
        </w:rPr>
        <w:t> </w:t>
      </w:r>
    </w:p>
    <w:p w14:paraId="5286A9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default" w:ascii="Calibri" w:hAnsi="Calibri" w:cs="Calibri"/>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color="auto" w:fill="FFFFFF"/>
        </w:rPr>
        <w:t>表</w:t>
      </w:r>
      <w:r>
        <w:rPr>
          <w:rFonts w:hint="default" w:ascii="Times New Roman" w:hAnsi="Times New Roman" w:cs="Times New Roman"/>
          <w:b/>
          <w:bCs/>
          <w:i w:val="0"/>
          <w:iCs w:val="0"/>
          <w:caps w:val="0"/>
          <w:color w:val="auto"/>
          <w:spacing w:val="0"/>
          <w:sz w:val="24"/>
          <w:szCs w:val="24"/>
          <w:shd w:val="clear" w:color="auto" w:fill="FFFFFF"/>
        </w:rPr>
        <w:t>5-1</w:t>
      </w:r>
      <w:r>
        <w:rPr>
          <w:rFonts w:hint="eastAsia" w:ascii="宋体" w:hAnsi="宋体" w:eastAsia="宋体" w:cs="宋体"/>
          <w:b/>
          <w:bCs/>
          <w:i w:val="0"/>
          <w:iCs w:val="0"/>
          <w:caps w:val="0"/>
          <w:color w:val="auto"/>
          <w:spacing w:val="0"/>
          <w:sz w:val="24"/>
          <w:szCs w:val="24"/>
          <w:shd w:val="clear" w:color="auto" w:fill="FFFFFF"/>
        </w:rPr>
        <w:t>　按行业大类分组的科学研究和技术服务业企业法人单位数和从业人员</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840"/>
        <w:gridCol w:w="2961"/>
        <w:gridCol w:w="2505"/>
      </w:tblGrid>
      <w:tr w14:paraId="3779D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3" w:hRule="atLeast"/>
        </w:trPr>
        <w:tc>
          <w:tcPr>
            <w:tcW w:w="9638" w:type="dxa"/>
            <w:gridSpan w:val="3"/>
            <w:tcBorders>
              <w:top w:val="nil"/>
              <w:left w:val="nil"/>
              <w:bottom w:val="single" w:color="000000" w:sz="12" w:space="0"/>
              <w:right w:val="nil"/>
            </w:tcBorders>
            <w:shd w:val="clear" w:color="auto" w:fill="FFFFFF"/>
            <w:noWrap w:val="0"/>
            <w:vAlign w:val="center"/>
          </w:tcPr>
          <w:p w14:paraId="387C85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right="57" w:hanging="55"/>
              <w:jc w:val="right"/>
              <w:rPr>
                <w:color w:val="auto"/>
              </w:rPr>
            </w:pPr>
            <w:r>
              <w:rPr>
                <w:rFonts w:hint="eastAsia" w:ascii="宋体" w:hAnsi="宋体" w:eastAsia="宋体" w:cs="宋体"/>
                <w:i w:val="0"/>
                <w:iCs w:val="0"/>
                <w:caps w:val="0"/>
                <w:color w:val="auto"/>
                <w:spacing w:val="0"/>
                <w:sz w:val="21"/>
                <w:szCs w:val="21"/>
              </w:rPr>
              <w:t> </w:t>
            </w:r>
          </w:p>
        </w:tc>
      </w:tr>
      <w:tr w14:paraId="6C43A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348" w:type="dxa"/>
            <w:tcBorders>
              <w:top w:val="single" w:color="000000" w:sz="12" w:space="0"/>
              <w:left w:val="nil"/>
              <w:bottom w:val="single" w:color="000000" w:sz="6" w:space="0"/>
              <w:right w:val="single" w:color="000000" w:sz="6" w:space="0"/>
            </w:tcBorders>
            <w:shd w:val="clear" w:color="auto" w:fill="FFFFFF"/>
            <w:noWrap w:val="0"/>
            <w:vAlign w:val="center"/>
          </w:tcPr>
          <w:p w14:paraId="0108C5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right="57" w:hanging="55"/>
              <w:jc w:val="center"/>
              <w:rPr>
                <w:color w:val="auto"/>
              </w:rPr>
            </w:pPr>
            <w:r>
              <w:rPr>
                <w:rFonts w:hint="default" w:ascii="Times New Roman" w:hAnsi="Times New Roman" w:cs="Times New Roman"/>
                <w:i w:val="0"/>
                <w:iCs w:val="0"/>
                <w:caps w:val="0"/>
                <w:color w:val="auto"/>
                <w:spacing w:val="0"/>
                <w:sz w:val="21"/>
                <w:szCs w:val="21"/>
              </w:rPr>
              <w:t> </w:t>
            </w:r>
          </w:p>
        </w:tc>
        <w:tc>
          <w:tcPr>
            <w:tcW w:w="3418" w:type="dxa"/>
            <w:tcBorders>
              <w:top w:val="single" w:color="000000" w:sz="12" w:space="0"/>
              <w:left w:val="single" w:color="000000" w:sz="6" w:space="0"/>
              <w:bottom w:val="single" w:color="000000" w:sz="6" w:space="0"/>
              <w:right w:val="single" w:color="000000" w:sz="6" w:space="0"/>
            </w:tcBorders>
            <w:shd w:val="clear" w:color="auto" w:fill="FFFFFF"/>
            <w:noWrap w:val="0"/>
            <w:vAlign w:val="center"/>
          </w:tcPr>
          <w:p w14:paraId="217740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right="57" w:hanging="55"/>
              <w:jc w:val="center"/>
              <w:rPr>
                <w:color w:val="auto"/>
              </w:rPr>
            </w:pPr>
            <w:r>
              <w:rPr>
                <w:rFonts w:hint="eastAsia" w:ascii="宋体" w:hAnsi="宋体" w:eastAsia="宋体" w:cs="宋体"/>
                <w:i w:val="0"/>
                <w:iCs w:val="0"/>
                <w:caps w:val="0"/>
                <w:color w:val="auto"/>
                <w:spacing w:val="0"/>
                <w:sz w:val="21"/>
                <w:szCs w:val="21"/>
              </w:rPr>
              <w:t>企业法人单位</w:t>
            </w:r>
          </w:p>
          <w:p w14:paraId="7BBCCC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right="57" w:hanging="55"/>
              <w:jc w:val="center"/>
              <w:rPr>
                <w:color w:val="auto"/>
              </w:rPr>
            </w:pPr>
            <w:r>
              <w:rPr>
                <w:rFonts w:hint="eastAsia" w:ascii="宋体" w:hAnsi="宋体" w:eastAsia="宋体" w:cs="宋体"/>
                <w:i w:val="0"/>
                <w:iCs w:val="0"/>
                <w:caps w:val="0"/>
                <w:color w:val="auto"/>
                <w:spacing w:val="0"/>
                <w:sz w:val="21"/>
                <w:szCs w:val="21"/>
              </w:rPr>
              <w:t>（个）</w:t>
            </w:r>
          </w:p>
        </w:tc>
        <w:tc>
          <w:tcPr>
            <w:tcW w:w="2841" w:type="dxa"/>
            <w:tcBorders>
              <w:top w:val="single" w:color="000000" w:sz="12" w:space="0"/>
              <w:left w:val="single" w:color="000000" w:sz="6" w:space="0"/>
              <w:bottom w:val="single" w:color="000000" w:sz="6" w:space="0"/>
              <w:right w:val="nil"/>
            </w:tcBorders>
            <w:shd w:val="clear" w:color="auto" w:fill="FFFFFF"/>
            <w:noWrap w:val="0"/>
            <w:vAlign w:val="center"/>
          </w:tcPr>
          <w:p w14:paraId="17BDE8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right="57" w:hanging="55"/>
              <w:jc w:val="center"/>
              <w:rPr>
                <w:color w:val="auto"/>
              </w:rPr>
            </w:pPr>
            <w:r>
              <w:rPr>
                <w:rFonts w:hint="eastAsia" w:ascii="宋体" w:hAnsi="宋体" w:eastAsia="宋体" w:cs="宋体"/>
                <w:i w:val="0"/>
                <w:iCs w:val="0"/>
                <w:caps w:val="0"/>
                <w:color w:val="auto"/>
                <w:spacing w:val="0"/>
                <w:sz w:val="21"/>
                <w:szCs w:val="21"/>
              </w:rPr>
              <w:t>从业人员</w:t>
            </w:r>
          </w:p>
          <w:p w14:paraId="09A0A9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right="57" w:hanging="55"/>
              <w:jc w:val="center"/>
              <w:rPr>
                <w:color w:val="auto"/>
              </w:rPr>
            </w:pPr>
            <w:r>
              <w:rPr>
                <w:rFonts w:hint="eastAsia" w:ascii="宋体" w:hAnsi="宋体" w:eastAsia="宋体" w:cs="宋体"/>
                <w:i w:val="0"/>
                <w:iCs w:val="0"/>
                <w:caps w:val="0"/>
                <w:color w:val="auto"/>
                <w:spacing w:val="0"/>
                <w:sz w:val="21"/>
                <w:szCs w:val="21"/>
              </w:rPr>
              <w:t>（人）</w:t>
            </w:r>
          </w:p>
        </w:tc>
      </w:tr>
      <w:tr w14:paraId="78AE7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3" w:hRule="atLeast"/>
        </w:trPr>
        <w:tc>
          <w:tcPr>
            <w:tcW w:w="3348" w:type="dxa"/>
            <w:tcBorders>
              <w:top w:val="single" w:color="000000" w:sz="6" w:space="0"/>
              <w:left w:val="nil"/>
              <w:bottom w:val="nil"/>
              <w:right w:val="single" w:color="000000" w:sz="6" w:space="0"/>
            </w:tcBorders>
            <w:shd w:val="clear" w:color="auto" w:fill="FFFFFF"/>
            <w:noWrap w:val="0"/>
            <w:vAlign w:val="center"/>
          </w:tcPr>
          <w:p w14:paraId="5566DE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right="57" w:hanging="55"/>
              <w:jc w:val="left"/>
              <w:rPr>
                <w:color w:val="auto"/>
                <w:sz w:val="21"/>
                <w:szCs w:val="21"/>
              </w:rPr>
            </w:pPr>
            <w:r>
              <w:rPr>
                <w:rFonts w:hint="eastAsia" w:ascii="宋体" w:hAnsi="宋体" w:eastAsia="宋体" w:cs="宋体"/>
                <w:b/>
                <w:bCs/>
                <w:i w:val="0"/>
                <w:iCs w:val="0"/>
                <w:caps w:val="0"/>
                <w:color w:val="auto"/>
                <w:spacing w:val="0"/>
                <w:sz w:val="21"/>
                <w:szCs w:val="21"/>
              </w:rPr>
              <w:t>合　计</w:t>
            </w:r>
          </w:p>
        </w:tc>
        <w:tc>
          <w:tcPr>
            <w:tcW w:w="3418" w:type="dxa"/>
            <w:tcBorders>
              <w:top w:val="single" w:color="000000" w:sz="6" w:space="0"/>
              <w:left w:val="single" w:color="000000" w:sz="6" w:space="0"/>
              <w:bottom w:val="nil"/>
              <w:right w:val="single" w:color="000000" w:sz="6" w:space="0"/>
            </w:tcBorders>
            <w:shd w:val="clear" w:color="auto" w:fill="FFFFFF"/>
            <w:noWrap w:val="0"/>
            <w:vAlign w:val="center"/>
          </w:tcPr>
          <w:p w14:paraId="07D720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right="105" w:hanging="55"/>
              <w:jc w:val="center"/>
              <w:rPr>
                <w:rFonts w:hint="default" w:eastAsia="宋体"/>
                <w:color w:val="auto"/>
                <w:lang w:val="en-US" w:eastAsia="zh-CN"/>
              </w:rPr>
            </w:pPr>
            <w:r>
              <w:rPr>
                <w:rFonts w:hint="eastAsia" w:ascii="Times New Roman" w:hAnsi="Times New Roman" w:cs="Times New Roman"/>
                <w:b/>
                <w:bCs/>
                <w:i w:val="0"/>
                <w:iCs w:val="0"/>
                <w:caps w:val="0"/>
                <w:color w:val="auto"/>
                <w:spacing w:val="0"/>
                <w:sz w:val="21"/>
                <w:szCs w:val="21"/>
                <w:lang w:val="en-US" w:eastAsia="zh-CN"/>
              </w:rPr>
              <w:t>80</w:t>
            </w:r>
          </w:p>
        </w:tc>
        <w:tc>
          <w:tcPr>
            <w:tcW w:w="2841" w:type="dxa"/>
            <w:tcBorders>
              <w:top w:val="single" w:color="000000" w:sz="6" w:space="0"/>
              <w:left w:val="single" w:color="000000" w:sz="6" w:space="0"/>
              <w:bottom w:val="nil"/>
              <w:right w:val="nil"/>
            </w:tcBorders>
            <w:shd w:val="clear" w:color="auto" w:fill="FFFFFF"/>
            <w:noWrap w:val="0"/>
            <w:vAlign w:val="center"/>
          </w:tcPr>
          <w:p w14:paraId="23CB61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right="105" w:hanging="55"/>
              <w:jc w:val="center"/>
              <w:rPr>
                <w:rFonts w:hint="default" w:eastAsia="宋体"/>
                <w:color w:val="auto"/>
                <w:lang w:val="en-US" w:eastAsia="zh-CN"/>
              </w:rPr>
            </w:pPr>
            <w:r>
              <w:rPr>
                <w:rFonts w:hint="eastAsia" w:ascii="Times New Roman" w:hAnsi="Times New Roman" w:cs="Times New Roman"/>
                <w:b/>
                <w:bCs/>
                <w:i w:val="0"/>
                <w:iCs w:val="0"/>
                <w:caps w:val="0"/>
                <w:color w:val="auto"/>
                <w:spacing w:val="0"/>
                <w:sz w:val="21"/>
                <w:szCs w:val="21"/>
                <w:lang w:val="en-US" w:eastAsia="zh-CN"/>
              </w:rPr>
              <w:t>442</w:t>
            </w:r>
          </w:p>
        </w:tc>
      </w:tr>
      <w:tr w14:paraId="43C25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3" w:hRule="atLeast"/>
        </w:trPr>
        <w:tc>
          <w:tcPr>
            <w:tcW w:w="3348" w:type="dxa"/>
            <w:tcBorders>
              <w:top w:val="nil"/>
              <w:left w:val="nil"/>
              <w:bottom w:val="nil"/>
              <w:right w:val="single" w:color="000000" w:sz="6" w:space="0"/>
            </w:tcBorders>
            <w:shd w:val="clear" w:color="auto" w:fill="FFFFFF"/>
            <w:noWrap w:val="0"/>
            <w:vAlign w:val="center"/>
          </w:tcPr>
          <w:p w14:paraId="433CE9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right="57" w:hanging="55"/>
              <w:jc w:val="left"/>
              <w:rPr>
                <w:color w:val="auto"/>
                <w:sz w:val="21"/>
                <w:szCs w:val="21"/>
              </w:rPr>
            </w:pPr>
            <w:r>
              <w:rPr>
                <w:rFonts w:hint="eastAsia" w:ascii="宋体" w:hAnsi="宋体" w:eastAsia="宋体" w:cs="宋体"/>
                <w:i w:val="0"/>
                <w:iCs w:val="0"/>
                <w:caps w:val="0"/>
                <w:color w:val="auto"/>
                <w:spacing w:val="0"/>
                <w:sz w:val="21"/>
                <w:szCs w:val="21"/>
              </w:rPr>
              <w:t>研究和试验发展</w:t>
            </w:r>
          </w:p>
        </w:tc>
        <w:tc>
          <w:tcPr>
            <w:tcW w:w="3418" w:type="dxa"/>
            <w:tcBorders>
              <w:top w:val="nil"/>
              <w:left w:val="single" w:color="000000" w:sz="6" w:space="0"/>
              <w:bottom w:val="nil"/>
              <w:right w:val="single" w:color="000000" w:sz="6" w:space="0"/>
            </w:tcBorders>
            <w:shd w:val="clear" w:color="auto" w:fill="FFFFFF"/>
            <w:noWrap w:val="0"/>
            <w:vAlign w:val="center"/>
          </w:tcPr>
          <w:p w14:paraId="694B6C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right="105" w:hanging="55"/>
              <w:jc w:val="center"/>
              <w:rPr>
                <w:rFonts w:hint="eastAsia" w:eastAsia="宋体"/>
                <w:color w:val="auto"/>
                <w:lang w:eastAsia="zh-CN"/>
              </w:rPr>
            </w:pPr>
            <w:r>
              <w:rPr>
                <w:rFonts w:hint="eastAsia" w:ascii="Times New Roman" w:hAnsi="Times New Roman" w:cs="Times New Roman"/>
                <w:i w:val="0"/>
                <w:iCs w:val="0"/>
                <w:caps w:val="0"/>
                <w:color w:val="auto"/>
                <w:spacing w:val="0"/>
                <w:sz w:val="21"/>
                <w:szCs w:val="21"/>
                <w:lang w:val="en-US" w:eastAsia="zh-CN"/>
              </w:rPr>
              <w:t>6</w:t>
            </w:r>
          </w:p>
        </w:tc>
        <w:tc>
          <w:tcPr>
            <w:tcW w:w="2841" w:type="dxa"/>
            <w:tcBorders>
              <w:top w:val="nil"/>
              <w:left w:val="single" w:color="000000" w:sz="6" w:space="0"/>
              <w:bottom w:val="nil"/>
              <w:right w:val="nil"/>
            </w:tcBorders>
            <w:shd w:val="clear" w:color="auto" w:fill="FFFFFF"/>
            <w:noWrap w:val="0"/>
            <w:vAlign w:val="center"/>
          </w:tcPr>
          <w:p w14:paraId="217252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right="105" w:hanging="55"/>
              <w:jc w:val="center"/>
              <w:rPr>
                <w:rFonts w:hint="default" w:eastAsia="宋体"/>
                <w:color w:val="auto"/>
                <w:lang w:val="en-US" w:eastAsia="zh-CN"/>
              </w:rPr>
            </w:pPr>
            <w:r>
              <w:rPr>
                <w:rFonts w:hint="eastAsia" w:ascii="Times New Roman" w:hAnsi="Times New Roman" w:cs="Times New Roman"/>
                <w:i w:val="0"/>
                <w:iCs w:val="0"/>
                <w:caps w:val="0"/>
                <w:color w:val="auto"/>
                <w:spacing w:val="0"/>
                <w:sz w:val="21"/>
                <w:szCs w:val="21"/>
                <w:lang w:val="en-US" w:eastAsia="zh-CN"/>
              </w:rPr>
              <w:t>32</w:t>
            </w:r>
          </w:p>
        </w:tc>
      </w:tr>
      <w:tr w14:paraId="71EFF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3" w:hRule="atLeast"/>
        </w:trPr>
        <w:tc>
          <w:tcPr>
            <w:tcW w:w="3348" w:type="dxa"/>
            <w:tcBorders>
              <w:top w:val="nil"/>
              <w:left w:val="nil"/>
              <w:bottom w:val="nil"/>
              <w:right w:val="single" w:color="000000" w:sz="6" w:space="0"/>
            </w:tcBorders>
            <w:shd w:val="clear" w:color="auto" w:fill="FFFFFF"/>
            <w:noWrap w:val="0"/>
            <w:vAlign w:val="center"/>
          </w:tcPr>
          <w:p w14:paraId="0D2B90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right="57" w:hanging="55"/>
              <w:jc w:val="left"/>
              <w:rPr>
                <w:color w:val="auto"/>
                <w:sz w:val="21"/>
                <w:szCs w:val="21"/>
              </w:rPr>
            </w:pPr>
            <w:r>
              <w:rPr>
                <w:rFonts w:hint="eastAsia" w:ascii="宋体" w:hAnsi="宋体" w:eastAsia="宋体" w:cs="宋体"/>
                <w:i w:val="0"/>
                <w:iCs w:val="0"/>
                <w:caps w:val="0"/>
                <w:color w:val="auto"/>
                <w:spacing w:val="0"/>
                <w:sz w:val="21"/>
                <w:szCs w:val="21"/>
              </w:rPr>
              <w:t>专业技术服务业</w:t>
            </w:r>
          </w:p>
        </w:tc>
        <w:tc>
          <w:tcPr>
            <w:tcW w:w="3418" w:type="dxa"/>
            <w:tcBorders>
              <w:top w:val="nil"/>
              <w:left w:val="single" w:color="000000" w:sz="6" w:space="0"/>
              <w:bottom w:val="nil"/>
              <w:right w:val="single" w:color="000000" w:sz="6" w:space="0"/>
            </w:tcBorders>
            <w:shd w:val="clear" w:color="auto" w:fill="FFFFFF"/>
            <w:noWrap w:val="0"/>
            <w:vAlign w:val="center"/>
          </w:tcPr>
          <w:p w14:paraId="6845F8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right="105" w:hanging="55"/>
              <w:jc w:val="center"/>
              <w:rPr>
                <w:rFonts w:hint="default" w:eastAsia="宋体"/>
                <w:color w:val="auto"/>
                <w:lang w:val="en-US" w:eastAsia="zh-CN"/>
              </w:rPr>
            </w:pPr>
            <w:r>
              <w:rPr>
                <w:rFonts w:hint="eastAsia" w:ascii="Times New Roman" w:hAnsi="Times New Roman" w:cs="Times New Roman"/>
                <w:i w:val="0"/>
                <w:iCs w:val="0"/>
                <w:caps w:val="0"/>
                <w:color w:val="auto"/>
                <w:spacing w:val="0"/>
                <w:sz w:val="21"/>
                <w:szCs w:val="21"/>
                <w:lang w:val="en-US" w:eastAsia="zh-CN"/>
              </w:rPr>
              <w:t>36</w:t>
            </w:r>
          </w:p>
        </w:tc>
        <w:tc>
          <w:tcPr>
            <w:tcW w:w="2841" w:type="dxa"/>
            <w:tcBorders>
              <w:top w:val="nil"/>
              <w:left w:val="single" w:color="000000" w:sz="6" w:space="0"/>
              <w:bottom w:val="nil"/>
              <w:right w:val="nil"/>
            </w:tcBorders>
            <w:shd w:val="clear" w:color="auto" w:fill="FFFFFF"/>
            <w:noWrap w:val="0"/>
            <w:vAlign w:val="center"/>
          </w:tcPr>
          <w:p w14:paraId="61D335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right="105" w:hanging="55"/>
              <w:jc w:val="center"/>
              <w:rPr>
                <w:rFonts w:hint="default" w:eastAsia="宋体"/>
                <w:color w:val="auto"/>
                <w:lang w:val="en-US" w:eastAsia="zh-CN"/>
              </w:rPr>
            </w:pPr>
            <w:r>
              <w:rPr>
                <w:rFonts w:hint="eastAsia" w:ascii="Times New Roman" w:hAnsi="Times New Roman" w:cs="Times New Roman"/>
                <w:i w:val="0"/>
                <w:iCs w:val="0"/>
                <w:caps w:val="0"/>
                <w:color w:val="auto"/>
                <w:spacing w:val="0"/>
                <w:sz w:val="21"/>
                <w:szCs w:val="21"/>
                <w:lang w:val="en-US" w:eastAsia="zh-CN"/>
              </w:rPr>
              <w:t>287</w:t>
            </w:r>
          </w:p>
        </w:tc>
      </w:tr>
      <w:tr w14:paraId="45589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3348" w:type="dxa"/>
            <w:tcBorders>
              <w:top w:val="nil"/>
              <w:left w:val="nil"/>
              <w:bottom w:val="single" w:color="000000" w:sz="12" w:space="0"/>
              <w:right w:val="single" w:color="000000" w:sz="6" w:space="0"/>
            </w:tcBorders>
            <w:shd w:val="clear" w:color="auto" w:fill="FFFFFF"/>
            <w:noWrap w:val="0"/>
            <w:vAlign w:val="center"/>
          </w:tcPr>
          <w:p w14:paraId="2A35C0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right="57" w:hanging="55"/>
              <w:jc w:val="left"/>
              <w:rPr>
                <w:color w:val="auto"/>
                <w:sz w:val="21"/>
                <w:szCs w:val="21"/>
              </w:rPr>
            </w:pPr>
            <w:r>
              <w:rPr>
                <w:rFonts w:hint="eastAsia" w:ascii="宋体" w:hAnsi="宋体" w:eastAsia="宋体" w:cs="宋体"/>
                <w:i w:val="0"/>
                <w:iCs w:val="0"/>
                <w:caps w:val="0"/>
                <w:color w:val="auto"/>
                <w:spacing w:val="0"/>
                <w:sz w:val="21"/>
                <w:szCs w:val="21"/>
              </w:rPr>
              <w:t>科技推广和应用服务业</w:t>
            </w:r>
          </w:p>
        </w:tc>
        <w:tc>
          <w:tcPr>
            <w:tcW w:w="3418" w:type="dxa"/>
            <w:tcBorders>
              <w:top w:val="nil"/>
              <w:left w:val="single" w:color="000000" w:sz="6" w:space="0"/>
              <w:bottom w:val="single" w:color="000000" w:sz="12" w:space="0"/>
              <w:right w:val="single" w:color="000000" w:sz="6" w:space="0"/>
            </w:tcBorders>
            <w:shd w:val="clear" w:color="auto" w:fill="FFFFFF"/>
            <w:noWrap w:val="0"/>
            <w:vAlign w:val="center"/>
          </w:tcPr>
          <w:p w14:paraId="6BF3B0C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right="105" w:hanging="55"/>
              <w:jc w:val="center"/>
              <w:rPr>
                <w:rFonts w:hint="default" w:eastAsia="宋体"/>
                <w:color w:val="auto"/>
                <w:lang w:val="en-US" w:eastAsia="zh-CN"/>
              </w:rPr>
            </w:pPr>
            <w:r>
              <w:rPr>
                <w:rFonts w:hint="eastAsia" w:ascii="Times New Roman" w:hAnsi="Times New Roman" w:cs="Times New Roman"/>
                <w:i w:val="0"/>
                <w:iCs w:val="0"/>
                <w:caps w:val="0"/>
                <w:color w:val="auto"/>
                <w:spacing w:val="0"/>
                <w:sz w:val="21"/>
                <w:szCs w:val="21"/>
                <w:lang w:val="en-US" w:eastAsia="zh-CN"/>
              </w:rPr>
              <w:t>38</w:t>
            </w:r>
          </w:p>
        </w:tc>
        <w:tc>
          <w:tcPr>
            <w:tcW w:w="2841" w:type="dxa"/>
            <w:tcBorders>
              <w:top w:val="nil"/>
              <w:left w:val="single" w:color="000000" w:sz="6" w:space="0"/>
              <w:bottom w:val="single" w:color="000000" w:sz="12" w:space="0"/>
              <w:right w:val="nil"/>
            </w:tcBorders>
            <w:shd w:val="clear" w:color="auto" w:fill="FFFFFF"/>
            <w:noWrap w:val="0"/>
            <w:vAlign w:val="center"/>
          </w:tcPr>
          <w:p w14:paraId="31BEC7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right="105" w:hanging="55"/>
              <w:jc w:val="center"/>
              <w:rPr>
                <w:rFonts w:hint="default" w:eastAsia="宋体"/>
                <w:color w:val="auto"/>
                <w:lang w:val="en-US" w:eastAsia="zh-CN"/>
              </w:rPr>
            </w:pPr>
            <w:r>
              <w:rPr>
                <w:rFonts w:hint="eastAsia" w:ascii="Times New Roman" w:hAnsi="Times New Roman" w:cs="Times New Roman"/>
                <w:i w:val="0"/>
                <w:iCs w:val="0"/>
                <w:caps w:val="0"/>
                <w:color w:val="auto"/>
                <w:spacing w:val="0"/>
                <w:sz w:val="21"/>
                <w:szCs w:val="21"/>
                <w:lang w:val="en-US" w:eastAsia="zh-CN"/>
              </w:rPr>
              <w:t>123</w:t>
            </w:r>
          </w:p>
        </w:tc>
      </w:tr>
    </w:tbl>
    <w:p w14:paraId="6E5FC20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auto"/>
          <w:spacing w:val="0"/>
          <w:sz w:val="24"/>
          <w:szCs w:val="24"/>
        </w:rPr>
      </w:pPr>
      <w:r>
        <w:rPr>
          <w:rFonts w:hint="default" w:ascii="Times New Roman" w:hAnsi="Times New Roman" w:cs="Times New Roman"/>
          <w:i w:val="0"/>
          <w:iCs w:val="0"/>
          <w:caps w:val="0"/>
          <w:color w:val="auto"/>
          <w:spacing w:val="0"/>
          <w:sz w:val="24"/>
          <w:szCs w:val="24"/>
          <w:shd w:val="clear" w:fill="FFFFFF"/>
        </w:rPr>
        <w:t> </w:t>
      </w:r>
    </w:p>
    <w:p w14:paraId="07E2F7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both"/>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在科学研究和技术服务业企业法人单位中，内资企业占</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98.8</w:t>
      </w:r>
      <w:r>
        <w:rPr>
          <w:rFonts w:hint="eastAsia" w:ascii="仿宋_GB2312" w:hAnsi="仿宋_GB2312" w:eastAsia="仿宋_GB2312" w:cs="仿宋_GB2312"/>
          <w:i w:val="0"/>
          <w:iCs w:val="0"/>
          <w:caps w:val="0"/>
          <w:color w:val="auto"/>
          <w:spacing w:val="0"/>
          <w:sz w:val="32"/>
          <w:szCs w:val="32"/>
          <w:highlight w:val="none"/>
          <w:shd w:val="clear" w:color="auto" w:fill="FFFFFF"/>
        </w:rPr>
        <w:t>%，</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其他统计类别</w:t>
      </w:r>
      <w:r>
        <w:rPr>
          <w:rFonts w:hint="eastAsia" w:ascii="仿宋_GB2312" w:hAnsi="仿宋_GB2312" w:eastAsia="仿宋_GB2312" w:cs="仿宋_GB2312"/>
          <w:i w:val="0"/>
          <w:iCs w:val="0"/>
          <w:caps w:val="0"/>
          <w:color w:val="auto"/>
          <w:spacing w:val="0"/>
          <w:sz w:val="32"/>
          <w:szCs w:val="32"/>
          <w:highlight w:val="none"/>
          <w:shd w:val="clear" w:color="auto" w:fill="FFFFFF"/>
        </w:rPr>
        <w:t>占</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1.2</w:t>
      </w:r>
      <w:r>
        <w:rPr>
          <w:rFonts w:hint="eastAsia" w:ascii="仿宋_GB2312" w:hAnsi="仿宋_GB2312" w:eastAsia="仿宋_GB2312" w:cs="仿宋_GB2312"/>
          <w:i w:val="0"/>
          <w:iCs w:val="0"/>
          <w:caps w:val="0"/>
          <w:color w:val="auto"/>
          <w:spacing w:val="0"/>
          <w:sz w:val="32"/>
          <w:szCs w:val="32"/>
          <w:highlight w:val="none"/>
          <w:shd w:val="clear" w:color="auto" w:fill="FFFFFF"/>
        </w:rPr>
        <w:t>%。</w:t>
      </w:r>
    </w:p>
    <w:p w14:paraId="453C0F7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both"/>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在科学研究和技术服务业企业法人单位从业人员中，内资企业占</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99.3</w:t>
      </w:r>
      <w:r>
        <w:rPr>
          <w:rFonts w:hint="eastAsia" w:ascii="仿宋_GB2312" w:hAnsi="仿宋_GB2312" w:eastAsia="仿宋_GB2312" w:cs="仿宋_GB2312"/>
          <w:i w:val="0"/>
          <w:iCs w:val="0"/>
          <w:caps w:val="0"/>
          <w:color w:val="auto"/>
          <w:spacing w:val="0"/>
          <w:sz w:val="32"/>
          <w:szCs w:val="32"/>
          <w:highlight w:val="none"/>
          <w:shd w:val="clear" w:color="auto" w:fill="FFFFFF"/>
        </w:rPr>
        <w:t>%，</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其他统计类别</w:t>
      </w:r>
      <w:r>
        <w:rPr>
          <w:rFonts w:hint="eastAsia" w:ascii="仿宋_GB2312" w:hAnsi="仿宋_GB2312" w:eastAsia="仿宋_GB2312" w:cs="仿宋_GB2312"/>
          <w:i w:val="0"/>
          <w:iCs w:val="0"/>
          <w:caps w:val="0"/>
          <w:color w:val="auto"/>
          <w:spacing w:val="0"/>
          <w:sz w:val="32"/>
          <w:szCs w:val="32"/>
          <w:highlight w:val="none"/>
          <w:shd w:val="clear" w:color="auto" w:fill="FFFFFF"/>
        </w:rPr>
        <w:t>占</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0.7</w:t>
      </w:r>
      <w:r>
        <w:rPr>
          <w:rFonts w:hint="eastAsia" w:ascii="仿宋_GB2312" w:hAnsi="仿宋_GB2312" w:eastAsia="仿宋_GB2312" w:cs="仿宋_GB2312"/>
          <w:i w:val="0"/>
          <w:iCs w:val="0"/>
          <w:caps w:val="0"/>
          <w:color w:val="auto"/>
          <w:spacing w:val="0"/>
          <w:sz w:val="32"/>
          <w:szCs w:val="32"/>
          <w:highlight w:val="none"/>
          <w:shd w:val="clear" w:color="auto" w:fill="FFFFFF"/>
        </w:rPr>
        <w:t>%（详见表5-2）。</w:t>
      </w:r>
    </w:p>
    <w:p w14:paraId="1C3516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default" w:ascii="Calibri" w:hAnsi="Calibri" w:cs="Calibri"/>
          <w:i w:val="0"/>
          <w:iCs w:val="0"/>
          <w:caps w:val="0"/>
          <w:color w:val="auto"/>
          <w:spacing w:val="0"/>
          <w:sz w:val="24"/>
          <w:szCs w:val="24"/>
          <w:highlight w:val="none"/>
        </w:rPr>
      </w:pPr>
      <w:r>
        <w:rPr>
          <w:rFonts w:hint="eastAsia" w:ascii="宋体" w:hAnsi="宋体" w:eastAsia="宋体" w:cs="宋体"/>
          <w:i w:val="0"/>
          <w:iCs w:val="0"/>
          <w:caps w:val="0"/>
          <w:color w:val="auto"/>
          <w:spacing w:val="0"/>
          <w:sz w:val="32"/>
          <w:szCs w:val="32"/>
          <w:highlight w:val="none"/>
          <w:shd w:val="clear" w:color="auto" w:fill="FFFFFF"/>
        </w:rPr>
        <w:t> </w:t>
      </w:r>
      <w:r>
        <w:rPr>
          <w:rFonts w:hint="eastAsia" w:ascii="宋体" w:hAnsi="宋体" w:eastAsia="宋体" w:cs="宋体"/>
          <w:b/>
          <w:bCs/>
          <w:i w:val="0"/>
          <w:iCs w:val="0"/>
          <w:caps w:val="0"/>
          <w:color w:val="auto"/>
          <w:spacing w:val="0"/>
          <w:sz w:val="24"/>
          <w:szCs w:val="24"/>
          <w:highlight w:val="none"/>
          <w:shd w:val="clear" w:color="auto" w:fill="FFFFFF"/>
        </w:rPr>
        <w:t>表</w:t>
      </w:r>
      <w:r>
        <w:rPr>
          <w:rFonts w:hint="default" w:ascii="Times New Roman" w:hAnsi="Times New Roman" w:cs="Times New Roman"/>
          <w:b/>
          <w:bCs/>
          <w:i w:val="0"/>
          <w:iCs w:val="0"/>
          <w:caps w:val="0"/>
          <w:color w:val="auto"/>
          <w:spacing w:val="0"/>
          <w:sz w:val="24"/>
          <w:szCs w:val="24"/>
          <w:highlight w:val="none"/>
          <w:shd w:val="clear" w:color="auto" w:fill="FFFFFF"/>
        </w:rPr>
        <w:t>5-2</w:t>
      </w:r>
      <w:r>
        <w:rPr>
          <w:rFonts w:hint="eastAsia" w:ascii="宋体" w:hAnsi="宋体" w:eastAsia="宋体" w:cs="宋体"/>
          <w:b/>
          <w:bCs/>
          <w:i w:val="0"/>
          <w:iCs w:val="0"/>
          <w:caps w:val="0"/>
          <w:color w:val="auto"/>
          <w:spacing w:val="0"/>
          <w:sz w:val="24"/>
          <w:szCs w:val="24"/>
          <w:highlight w:val="none"/>
          <w:shd w:val="clear" w:color="auto" w:fill="FFFFFF"/>
        </w:rPr>
        <w:t>　按登记注册统计类别分组的科学研究和技术服务业</w:t>
      </w:r>
    </w:p>
    <w:p w14:paraId="384951C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default" w:ascii="Calibri" w:hAnsi="Calibri" w:cs="Calibri"/>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shd w:val="clear" w:color="auto" w:fill="FFFFFF"/>
        </w:rPr>
        <w:t>企业法人单位数和从业人员</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774"/>
        <w:gridCol w:w="2750"/>
        <w:gridCol w:w="2782"/>
      </w:tblGrid>
      <w:tr w14:paraId="7B0A6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3" w:hRule="atLeast"/>
        </w:trPr>
        <w:tc>
          <w:tcPr>
            <w:tcW w:w="9638" w:type="dxa"/>
            <w:gridSpan w:val="3"/>
            <w:tcBorders>
              <w:top w:val="nil"/>
              <w:left w:val="nil"/>
              <w:bottom w:val="single" w:color="000000" w:sz="12" w:space="0"/>
              <w:right w:val="nil"/>
            </w:tcBorders>
            <w:shd w:val="clear" w:color="auto" w:fill="FFFFFF"/>
            <w:noWrap w:val="0"/>
            <w:vAlign w:val="center"/>
          </w:tcPr>
          <w:p w14:paraId="00DDCD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right"/>
              <w:rPr>
                <w:color w:val="auto"/>
                <w:highlight w:val="none"/>
              </w:rPr>
            </w:pPr>
            <w:r>
              <w:rPr>
                <w:rFonts w:hint="default" w:ascii="Times New Roman" w:hAnsi="Times New Roman" w:cs="Times New Roman"/>
                <w:i w:val="0"/>
                <w:iCs w:val="0"/>
                <w:caps w:val="0"/>
                <w:color w:val="auto"/>
                <w:spacing w:val="0"/>
                <w:sz w:val="21"/>
                <w:szCs w:val="21"/>
                <w:highlight w:val="none"/>
              </w:rPr>
              <w:t> </w:t>
            </w:r>
          </w:p>
        </w:tc>
      </w:tr>
      <w:tr w14:paraId="6A493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3278" w:type="dxa"/>
            <w:tcBorders>
              <w:top w:val="single" w:color="000000" w:sz="12" w:space="0"/>
              <w:left w:val="nil"/>
              <w:bottom w:val="single" w:color="000000" w:sz="6" w:space="0"/>
              <w:right w:val="single" w:color="000000" w:sz="6" w:space="0"/>
            </w:tcBorders>
            <w:shd w:val="clear" w:color="auto" w:fill="FFFFFF"/>
            <w:noWrap w:val="0"/>
            <w:vAlign w:val="center"/>
          </w:tcPr>
          <w:p w14:paraId="7453280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highlight w:val="none"/>
              </w:rPr>
            </w:pPr>
            <w:r>
              <w:rPr>
                <w:rFonts w:hint="default" w:ascii="Times New Roman" w:hAnsi="Times New Roman" w:cs="Times New Roman"/>
                <w:i w:val="0"/>
                <w:iCs w:val="0"/>
                <w:caps w:val="0"/>
                <w:color w:val="auto"/>
                <w:spacing w:val="0"/>
                <w:sz w:val="21"/>
                <w:szCs w:val="21"/>
                <w:highlight w:val="none"/>
              </w:rPr>
              <w:t> </w:t>
            </w:r>
          </w:p>
        </w:tc>
        <w:tc>
          <w:tcPr>
            <w:tcW w:w="3160" w:type="dxa"/>
            <w:tcBorders>
              <w:top w:val="single" w:color="000000" w:sz="12" w:space="0"/>
              <w:left w:val="single" w:color="000000" w:sz="6" w:space="0"/>
              <w:bottom w:val="single" w:color="000000" w:sz="6" w:space="0"/>
              <w:right w:val="single" w:color="000000" w:sz="6" w:space="0"/>
            </w:tcBorders>
            <w:shd w:val="clear" w:color="auto" w:fill="FFFFFF"/>
            <w:noWrap w:val="0"/>
            <w:vAlign w:val="center"/>
          </w:tcPr>
          <w:p w14:paraId="7B5292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highlight w:val="none"/>
              </w:rPr>
            </w:pPr>
            <w:r>
              <w:rPr>
                <w:rFonts w:hint="eastAsia" w:ascii="宋体" w:hAnsi="宋体" w:eastAsia="宋体" w:cs="宋体"/>
                <w:i w:val="0"/>
                <w:iCs w:val="0"/>
                <w:caps w:val="0"/>
                <w:color w:val="auto"/>
                <w:spacing w:val="0"/>
                <w:sz w:val="21"/>
                <w:szCs w:val="21"/>
                <w:highlight w:val="none"/>
              </w:rPr>
              <w:t>企业法人单位</w:t>
            </w:r>
          </w:p>
          <w:p w14:paraId="7105DD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highlight w:val="none"/>
              </w:rPr>
            </w:pPr>
            <w:r>
              <w:rPr>
                <w:rFonts w:hint="eastAsia" w:ascii="宋体" w:hAnsi="宋体" w:eastAsia="宋体" w:cs="宋体"/>
                <w:i w:val="0"/>
                <w:iCs w:val="0"/>
                <w:caps w:val="0"/>
                <w:color w:val="auto"/>
                <w:spacing w:val="0"/>
                <w:sz w:val="21"/>
                <w:szCs w:val="21"/>
                <w:highlight w:val="none"/>
              </w:rPr>
              <w:t>（个）</w:t>
            </w:r>
          </w:p>
        </w:tc>
        <w:tc>
          <w:tcPr>
            <w:tcW w:w="3170" w:type="dxa"/>
            <w:tcBorders>
              <w:top w:val="single" w:color="000000" w:sz="12" w:space="0"/>
              <w:left w:val="single" w:color="000000" w:sz="6" w:space="0"/>
              <w:bottom w:val="single" w:color="000000" w:sz="6" w:space="0"/>
              <w:right w:val="nil"/>
            </w:tcBorders>
            <w:shd w:val="clear" w:color="auto" w:fill="FFFFFF"/>
            <w:noWrap w:val="0"/>
            <w:vAlign w:val="center"/>
          </w:tcPr>
          <w:p w14:paraId="24F52D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highlight w:val="none"/>
              </w:rPr>
            </w:pPr>
            <w:r>
              <w:rPr>
                <w:rFonts w:hint="eastAsia" w:ascii="宋体" w:hAnsi="宋体" w:eastAsia="宋体" w:cs="宋体"/>
                <w:i w:val="0"/>
                <w:iCs w:val="0"/>
                <w:caps w:val="0"/>
                <w:color w:val="auto"/>
                <w:spacing w:val="0"/>
                <w:sz w:val="21"/>
                <w:szCs w:val="21"/>
                <w:highlight w:val="none"/>
              </w:rPr>
              <w:t>从业人员</w:t>
            </w:r>
          </w:p>
          <w:p w14:paraId="38443C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highlight w:val="none"/>
              </w:rPr>
            </w:pPr>
            <w:r>
              <w:rPr>
                <w:rFonts w:hint="eastAsia" w:ascii="宋体" w:hAnsi="宋体" w:eastAsia="宋体" w:cs="宋体"/>
                <w:i w:val="0"/>
                <w:iCs w:val="0"/>
                <w:caps w:val="0"/>
                <w:color w:val="auto"/>
                <w:spacing w:val="0"/>
                <w:sz w:val="21"/>
                <w:szCs w:val="21"/>
                <w:highlight w:val="none"/>
              </w:rPr>
              <w:t>（人）</w:t>
            </w:r>
          </w:p>
        </w:tc>
      </w:tr>
      <w:tr w14:paraId="15B5D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3" w:hRule="atLeast"/>
        </w:trPr>
        <w:tc>
          <w:tcPr>
            <w:tcW w:w="3278" w:type="dxa"/>
            <w:tcBorders>
              <w:top w:val="single" w:color="000000" w:sz="6" w:space="0"/>
              <w:left w:val="nil"/>
              <w:bottom w:val="nil"/>
              <w:right w:val="single" w:color="000000" w:sz="6" w:space="0"/>
            </w:tcBorders>
            <w:shd w:val="clear" w:color="auto" w:fill="FFFFFF"/>
            <w:noWrap w:val="0"/>
            <w:vAlign w:val="center"/>
          </w:tcPr>
          <w:p w14:paraId="4DD2943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highlight w:val="none"/>
              </w:rPr>
            </w:pPr>
            <w:r>
              <w:rPr>
                <w:rFonts w:hint="eastAsia" w:ascii="宋体" w:hAnsi="宋体" w:eastAsia="宋体" w:cs="宋体"/>
                <w:b/>
                <w:bCs/>
                <w:i w:val="0"/>
                <w:iCs w:val="0"/>
                <w:caps w:val="0"/>
                <w:color w:val="auto"/>
                <w:spacing w:val="0"/>
                <w:sz w:val="21"/>
                <w:szCs w:val="21"/>
                <w:highlight w:val="none"/>
              </w:rPr>
              <w:t>合　计</w:t>
            </w:r>
          </w:p>
        </w:tc>
        <w:tc>
          <w:tcPr>
            <w:tcW w:w="3160" w:type="dxa"/>
            <w:tcBorders>
              <w:top w:val="single" w:color="000000" w:sz="6" w:space="0"/>
              <w:left w:val="single" w:color="000000" w:sz="6" w:space="0"/>
              <w:bottom w:val="nil"/>
              <w:right w:val="single" w:color="000000" w:sz="6" w:space="0"/>
            </w:tcBorders>
            <w:shd w:val="clear" w:color="auto" w:fill="FFFFFF"/>
            <w:noWrap w:val="0"/>
            <w:vAlign w:val="center"/>
          </w:tcPr>
          <w:p w14:paraId="15CA69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highlight w:val="none"/>
                <w:lang w:val="en-US" w:eastAsia="zh-CN"/>
              </w:rPr>
            </w:pPr>
            <w:r>
              <w:rPr>
                <w:rFonts w:hint="eastAsia" w:ascii="Times New Roman" w:hAnsi="Times New Roman" w:cs="Times New Roman"/>
                <w:b/>
                <w:bCs/>
                <w:i w:val="0"/>
                <w:iCs w:val="0"/>
                <w:caps w:val="0"/>
                <w:color w:val="auto"/>
                <w:spacing w:val="0"/>
                <w:sz w:val="21"/>
                <w:szCs w:val="21"/>
                <w:highlight w:val="none"/>
                <w:lang w:val="en-US" w:eastAsia="zh-CN"/>
              </w:rPr>
              <w:t>80</w:t>
            </w:r>
          </w:p>
        </w:tc>
        <w:tc>
          <w:tcPr>
            <w:tcW w:w="3170" w:type="dxa"/>
            <w:tcBorders>
              <w:top w:val="single" w:color="000000" w:sz="6" w:space="0"/>
              <w:left w:val="single" w:color="000000" w:sz="6" w:space="0"/>
              <w:bottom w:val="nil"/>
              <w:right w:val="nil"/>
            </w:tcBorders>
            <w:shd w:val="clear" w:color="auto" w:fill="FFFFFF"/>
            <w:noWrap w:val="0"/>
            <w:vAlign w:val="center"/>
          </w:tcPr>
          <w:p w14:paraId="7B6F80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highlight w:val="none"/>
                <w:lang w:val="en-US" w:eastAsia="zh-CN"/>
              </w:rPr>
            </w:pPr>
            <w:r>
              <w:rPr>
                <w:rFonts w:hint="eastAsia" w:ascii="Times New Roman" w:hAnsi="Times New Roman" w:cs="Times New Roman"/>
                <w:b/>
                <w:bCs/>
                <w:i w:val="0"/>
                <w:iCs w:val="0"/>
                <w:caps w:val="0"/>
                <w:color w:val="auto"/>
                <w:spacing w:val="0"/>
                <w:sz w:val="21"/>
                <w:szCs w:val="21"/>
                <w:highlight w:val="none"/>
                <w:lang w:val="en-US" w:eastAsia="zh-CN"/>
              </w:rPr>
              <w:t>442</w:t>
            </w:r>
          </w:p>
        </w:tc>
      </w:tr>
      <w:tr w14:paraId="25EA9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3" w:hRule="atLeast"/>
        </w:trPr>
        <w:tc>
          <w:tcPr>
            <w:tcW w:w="3278" w:type="dxa"/>
            <w:tcBorders>
              <w:top w:val="nil"/>
              <w:left w:val="nil"/>
              <w:bottom w:val="nil"/>
              <w:right w:val="single" w:color="000000" w:sz="6" w:space="0"/>
            </w:tcBorders>
            <w:shd w:val="clear" w:color="auto" w:fill="FFFFFF"/>
            <w:noWrap w:val="0"/>
            <w:vAlign w:val="center"/>
          </w:tcPr>
          <w:p w14:paraId="1155F2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highlight w:val="none"/>
              </w:rPr>
            </w:pPr>
            <w:r>
              <w:rPr>
                <w:rFonts w:hint="eastAsia" w:ascii="宋体" w:hAnsi="宋体" w:eastAsia="宋体" w:cs="宋体"/>
                <w:i w:val="0"/>
                <w:iCs w:val="0"/>
                <w:caps w:val="0"/>
                <w:color w:val="auto"/>
                <w:spacing w:val="0"/>
                <w:sz w:val="21"/>
                <w:szCs w:val="21"/>
                <w:highlight w:val="none"/>
              </w:rPr>
              <w:t>内资企业</w:t>
            </w:r>
          </w:p>
        </w:tc>
        <w:tc>
          <w:tcPr>
            <w:tcW w:w="3160" w:type="dxa"/>
            <w:tcBorders>
              <w:top w:val="nil"/>
              <w:left w:val="single" w:color="000000" w:sz="6" w:space="0"/>
              <w:bottom w:val="nil"/>
              <w:right w:val="single" w:color="000000" w:sz="6" w:space="0"/>
            </w:tcBorders>
            <w:shd w:val="clear" w:color="auto" w:fill="FFFFFF"/>
            <w:noWrap w:val="0"/>
            <w:vAlign w:val="center"/>
          </w:tcPr>
          <w:p w14:paraId="1D8D14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highlight w:val="none"/>
                <w:lang w:val="en-US" w:eastAsia="zh-CN"/>
              </w:rPr>
            </w:pPr>
            <w:r>
              <w:rPr>
                <w:rFonts w:hint="eastAsia" w:ascii="Times New Roman" w:hAnsi="Times New Roman" w:cs="Times New Roman"/>
                <w:i w:val="0"/>
                <w:iCs w:val="0"/>
                <w:caps w:val="0"/>
                <w:color w:val="auto"/>
                <w:spacing w:val="0"/>
                <w:sz w:val="21"/>
                <w:szCs w:val="21"/>
                <w:highlight w:val="none"/>
                <w:lang w:val="en-US" w:eastAsia="zh-CN"/>
              </w:rPr>
              <w:t>79</w:t>
            </w:r>
          </w:p>
        </w:tc>
        <w:tc>
          <w:tcPr>
            <w:tcW w:w="3170" w:type="dxa"/>
            <w:tcBorders>
              <w:top w:val="nil"/>
              <w:left w:val="single" w:color="000000" w:sz="6" w:space="0"/>
              <w:bottom w:val="nil"/>
              <w:right w:val="nil"/>
            </w:tcBorders>
            <w:shd w:val="clear" w:color="auto" w:fill="FFFFFF"/>
            <w:noWrap w:val="0"/>
            <w:vAlign w:val="center"/>
          </w:tcPr>
          <w:p w14:paraId="47DD67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highlight w:val="none"/>
                <w:lang w:val="en-US" w:eastAsia="zh-CN"/>
              </w:rPr>
            </w:pPr>
            <w:r>
              <w:rPr>
                <w:rFonts w:hint="eastAsia" w:ascii="Times New Roman" w:hAnsi="Times New Roman" w:cs="Times New Roman"/>
                <w:i w:val="0"/>
                <w:iCs w:val="0"/>
                <w:caps w:val="0"/>
                <w:color w:val="auto"/>
                <w:spacing w:val="0"/>
                <w:sz w:val="21"/>
                <w:szCs w:val="21"/>
                <w:highlight w:val="none"/>
                <w:lang w:val="en-US" w:eastAsia="zh-CN"/>
              </w:rPr>
              <w:t>439</w:t>
            </w:r>
          </w:p>
        </w:tc>
      </w:tr>
      <w:tr w14:paraId="2E3C6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3" w:hRule="atLeast"/>
        </w:trPr>
        <w:tc>
          <w:tcPr>
            <w:tcW w:w="3278" w:type="dxa"/>
            <w:tcBorders>
              <w:top w:val="nil"/>
              <w:left w:val="nil"/>
              <w:bottom w:val="nil"/>
              <w:right w:val="single" w:color="000000" w:sz="6" w:space="0"/>
            </w:tcBorders>
            <w:shd w:val="clear" w:color="auto" w:fill="FFFFFF"/>
            <w:noWrap w:val="0"/>
            <w:vAlign w:val="center"/>
          </w:tcPr>
          <w:p w14:paraId="32C0AF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highlight w:val="none"/>
              </w:rPr>
            </w:pPr>
            <w:r>
              <w:rPr>
                <w:rFonts w:hint="eastAsia" w:ascii="宋体" w:hAnsi="宋体" w:eastAsia="宋体" w:cs="宋体"/>
                <w:i w:val="0"/>
                <w:iCs w:val="0"/>
                <w:caps w:val="0"/>
                <w:color w:val="auto"/>
                <w:spacing w:val="0"/>
                <w:sz w:val="21"/>
                <w:szCs w:val="21"/>
                <w:highlight w:val="none"/>
              </w:rPr>
              <w:t>港澳台投资企业</w:t>
            </w:r>
          </w:p>
        </w:tc>
        <w:tc>
          <w:tcPr>
            <w:tcW w:w="3160" w:type="dxa"/>
            <w:tcBorders>
              <w:top w:val="nil"/>
              <w:left w:val="single" w:color="000000" w:sz="6" w:space="0"/>
              <w:bottom w:val="nil"/>
              <w:right w:val="single" w:color="000000" w:sz="6" w:space="0"/>
            </w:tcBorders>
            <w:shd w:val="clear" w:color="auto" w:fill="FFFFFF"/>
            <w:noWrap w:val="0"/>
            <w:vAlign w:val="center"/>
          </w:tcPr>
          <w:p w14:paraId="147C98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eastAsia" w:eastAsia="宋体"/>
                <w:color w:val="auto"/>
                <w:highlight w:val="none"/>
                <w:lang w:eastAsia="zh-CN"/>
              </w:rPr>
            </w:pPr>
            <w:r>
              <w:rPr>
                <w:rFonts w:hint="eastAsia" w:ascii="Times New Roman" w:hAnsi="Times New Roman" w:cs="Times New Roman"/>
                <w:i w:val="0"/>
                <w:iCs w:val="0"/>
                <w:caps w:val="0"/>
                <w:color w:val="auto"/>
                <w:spacing w:val="0"/>
                <w:sz w:val="21"/>
                <w:szCs w:val="21"/>
                <w:highlight w:val="none"/>
                <w:lang w:val="en-US" w:eastAsia="zh-CN"/>
              </w:rPr>
              <w:t>0</w:t>
            </w:r>
          </w:p>
        </w:tc>
        <w:tc>
          <w:tcPr>
            <w:tcW w:w="3170" w:type="dxa"/>
            <w:tcBorders>
              <w:top w:val="nil"/>
              <w:left w:val="single" w:color="000000" w:sz="6" w:space="0"/>
              <w:bottom w:val="nil"/>
              <w:right w:val="nil"/>
            </w:tcBorders>
            <w:shd w:val="clear" w:color="auto" w:fill="FFFFFF"/>
            <w:noWrap w:val="0"/>
            <w:vAlign w:val="center"/>
          </w:tcPr>
          <w:p w14:paraId="62F0D8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eastAsia" w:eastAsia="宋体"/>
                <w:color w:val="auto"/>
                <w:highlight w:val="none"/>
                <w:lang w:eastAsia="zh-CN"/>
              </w:rPr>
            </w:pPr>
            <w:r>
              <w:rPr>
                <w:rFonts w:hint="eastAsia" w:ascii="Times New Roman" w:hAnsi="Times New Roman" w:cs="Times New Roman"/>
                <w:i w:val="0"/>
                <w:iCs w:val="0"/>
                <w:caps w:val="0"/>
                <w:color w:val="auto"/>
                <w:spacing w:val="0"/>
                <w:sz w:val="21"/>
                <w:szCs w:val="21"/>
                <w:highlight w:val="none"/>
                <w:lang w:val="en-US" w:eastAsia="zh-CN"/>
              </w:rPr>
              <w:t>0</w:t>
            </w:r>
          </w:p>
        </w:tc>
      </w:tr>
      <w:tr w14:paraId="30332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3" w:hRule="atLeast"/>
        </w:trPr>
        <w:tc>
          <w:tcPr>
            <w:tcW w:w="3278" w:type="dxa"/>
            <w:tcBorders>
              <w:top w:val="nil"/>
              <w:left w:val="nil"/>
              <w:bottom w:val="nil"/>
              <w:right w:val="single" w:color="000000" w:sz="6" w:space="0"/>
            </w:tcBorders>
            <w:shd w:val="clear" w:color="auto" w:fill="FFFFFF"/>
            <w:noWrap w:val="0"/>
            <w:vAlign w:val="center"/>
          </w:tcPr>
          <w:p w14:paraId="714A8C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highlight w:val="none"/>
              </w:rPr>
            </w:pPr>
            <w:r>
              <w:rPr>
                <w:rFonts w:hint="eastAsia" w:ascii="宋体" w:hAnsi="宋体" w:eastAsia="宋体" w:cs="宋体"/>
                <w:i w:val="0"/>
                <w:iCs w:val="0"/>
                <w:caps w:val="0"/>
                <w:color w:val="auto"/>
                <w:spacing w:val="0"/>
                <w:sz w:val="21"/>
                <w:szCs w:val="21"/>
                <w:highlight w:val="none"/>
              </w:rPr>
              <w:t>外商投资企业</w:t>
            </w:r>
          </w:p>
        </w:tc>
        <w:tc>
          <w:tcPr>
            <w:tcW w:w="3160" w:type="dxa"/>
            <w:tcBorders>
              <w:top w:val="nil"/>
              <w:left w:val="single" w:color="000000" w:sz="6" w:space="0"/>
              <w:bottom w:val="nil"/>
              <w:right w:val="single" w:color="000000" w:sz="6" w:space="0"/>
            </w:tcBorders>
            <w:shd w:val="clear" w:color="auto" w:fill="FFFFFF"/>
            <w:noWrap w:val="0"/>
            <w:vAlign w:val="center"/>
          </w:tcPr>
          <w:p w14:paraId="216B9B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eastAsia" w:eastAsia="宋体"/>
                <w:color w:val="auto"/>
                <w:highlight w:val="none"/>
                <w:lang w:eastAsia="zh-CN"/>
              </w:rPr>
            </w:pPr>
            <w:r>
              <w:rPr>
                <w:rFonts w:hint="eastAsia" w:ascii="Times New Roman" w:hAnsi="Times New Roman" w:cs="Times New Roman"/>
                <w:i w:val="0"/>
                <w:iCs w:val="0"/>
                <w:caps w:val="0"/>
                <w:color w:val="auto"/>
                <w:spacing w:val="0"/>
                <w:sz w:val="21"/>
                <w:szCs w:val="21"/>
                <w:highlight w:val="none"/>
                <w:lang w:val="en-US" w:eastAsia="zh-CN"/>
              </w:rPr>
              <w:t>0</w:t>
            </w:r>
          </w:p>
        </w:tc>
        <w:tc>
          <w:tcPr>
            <w:tcW w:w="3170" w:type="dxa"/>
            <w:tcBorders>
              <w:top w:val="nil"/>
              <w:left w:val="single" w:color="000000" w:sz="6" w:space="0"/>
              <w:bottom w:val="nil"/>
              <w:right w:val="nil"/>
            </w:tcBorders>
            <w:shd w:val="clear" w:color="auto" w:fill="FFFFFF"/>
            <w:noWrap w:val="0"/>
            <w:vAlign w:val="center"/>
          </w:tcPr>
          <w:p w14:paraId="470EEB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eastAsia" w:eastAsia="宋体"/>
                <w:color w:val="auto"/>
                <w:highlight w:val="none"/>
                <w:lang w:eastAsia="zh-CN"/>
              </w:rPr>
            </w:pPr>
            <w:r>
              <w:rPr>
                <w:rFonts w:hint="eastAsia" w:ascii="Times New Roman" w:hAnsi="Times New Roman" w:cs="Times New Roman"/>
                <w:i w:val="0"/>
                <w:iCs w:val="0"/>
                <w:caps w:val="0"/>
                <w:color w:val="auto"/>
                <w:spacing w:val="0"/>
                <w:sz w:val="21"/>
                <w:szCs w:val="21"/>
                <w:highlight w:val="none"/>
                <w:lang w:val="en-US" w:eastAsia="zh-CN"/>
              </w:rPr>
              <w:t>0</w:t>
            </w:r>
          </w:p>
        </w:tc>
      </w:tr>
      <w:tr w14:paraId="13EAC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3" w:hRule="atLeast"/>
        </w:trPr>
        <w:tc>
          <w:tcPr>
            <w:tcW w:w="3278" w:type="dxa"/>
            <w:tcBorders>
              <w:top w:val="nil"/>
              <w:left w:val="nil"/>
              <w:bottom w:val="single" w:color="000000" w:sz="12" w:space="0"/>
              <w:right w:val="single" w:color="000000" w:sz="6" w:space="0"/>
            </w:tcBorders>
            <w:shd w:val="clear" w:color="auto" w:fill="FFFFFF"/>
            <w:noWrap w:val="0"/>
            <w:vAlign w:val="center"/>
          </w:tcPr>
          <w:p w14:paraId="416433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highlight w:val="none"/>
              </w:rPr>
            </w:pPr>
            <w:r>
              <w:rPr>
                <w:rFonts w:hint="eastAsia" w:ascii="宋体" w:hAnsi="宋体" w:eastAsia="宋体" w:cs="宋体"/>
                <w:i w:val="0"/>
                <w:iCs w:val="0"/>
                <w:caps w:val="0"/>
                <w:color w:val="auto"/>
                <w:spacing w:val="0"/>
                <w:sz w:val="21"/>
                <w:szCs w:val="21"/>
                <w:highlight w:val="none"/>
              </w:rPr>
              <w:t>其他统计类别</w:t>
            </w:r>
          </w:p>
        </w:tc>
        <w:tc>
          <w:tcPr>
            <w:tcW w:w="3160" w:type="dxa"/>
            <w:tcBorders>
              <w:top w:val="nil"/>
              <w:left w:val="single" w:color="000000" w:sz="6" w:space="0"/>
              <w:bottom w:val="single" w:color="000000" w:sz="12" w:space="0"/>
              <w:right w:val="single" w:color="000000" w:sz="6" w:space="0"/>
            </w:tcBorders>
            <w:shd w:val="clear" w:color="auto" w:fill="FFFFFF"/>
            <w:noWrap w:val="0"/>
            <w:vAlign w:val="center"/>
          </w:tcPr>
          <w:p w14:paraId="2DBCDF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eastAsia" w:eastAsia="宋体"/>
                <w:color w:val="auto"/>
                <w:highlight w:val="none"/>
                <w:lang w:eastAsia="zh-CN"/>
              </w:rPr>
            </w:pPr>
            <w:r>
              <w:rPr>
                <w:rFonts w:hint="eastAsia" w:ascii="Times New Roman" w:hAnsi="Times New Roman" w:cs="Times New Roman"/>
                <w:i w:val="0"/>
                <w:iCs w:val="0"/>
                <w:caps w:val="0"/>
                <w:color w:val="auto"/>
                <w:spacing w:val="0"/>
                <w:sz w:val="21"/>
                <w:szCs w:val="21"/>
                <w:highlight w:val="none"/>
                <w:lang w:val="en-US" w:eastAsia="zh-CN"/>
              </w:rPr>
              <w:t>1</w:t>
            </w:r>
          </w:p>
        </w:tc>
        <w:tc>
          <w:tcPr>
            <w:tcW w:w="3170" w:type="dxa"/>
            <w:tcBorders>
              <w:top w:val="nil"/>
              <w:left w:val="single" w:color="000000" w:sz="6" w:space="0"/>
              <w:bottom w:val="single" w:color="000000" w:sz="12" w:space="0"/>
              <w:right w:val="nil"/>
            </w:tcBorders>
            <w:shd w:val="clear" w:color="auto" w:fill="FFFFFF"/>
            <w:noWrap w:val="0"/>
            <w:vAlign w:val="center"/>
          </w:tcPr>
          <w:p w14:paraId="470302C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eastAsia" w:eastAsia="宋体"/>
                <w:color w:val="auto"/>
                <w:highlight w:val="none"/>
                <w:lang w:eastAsia="zh-CN"/>
              </w:rPr>
            </w:pPr>
            <w:r>
              <w:rPr>
                <w:rFonts w:hint="eastAsia" w:ascii="Times New Roman" w:hAnsi="Times New Roman" w:cs="Times New Roman"/>
                <w:i w:val="0"/>
                <w:iCs w:val="0"/>
                <w:caps w:val="0"/>
                <w:color w:val="auto"/>
                <w:spacing w:val="0"/>
                <w:sz w:val="21"/>
                <w:szCs w:val="21"/>
                <w:highlight w:val="none"/>
                <w:lang w:val="en-US" w:eastAsia="zh-CN"/>
              </w:rPr>
              <w:t>3</w:t>
            </w:r>
          </w:p>
        </w:tc>
      </w:tr>
    </w:tbl>
    <w:p w14:paraId="4E4D040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auto"/>
          <w:spacing w:val="0"/>
          <w:sz w:val="24"/>
          <w:szCs w:val="24"/>
        </w:rPr>
      </w:pPr>
      <w:r>
        <w:rPr>
          <w:rFonts w:hint="default" w:ascii="Times New Roman" w:hAnsi="Times New Roman" w:cs="Times New Roman"/>
          <w:i w:val="0"/>
          <w:iCs w:val="0"/>
          <w:caps w:val="0"/>
          <w:color w:val="auto"/>
          <w:spacing w:val="0"/>
          <w:sz w:val="24"/>
          <w:szCs w:val="24"/>
          <w:shd w:val="clear" w:fill="FFFFFF"/>
        </w:rPr>
        <w:t> </w:t>
      </w:r>
    </w:p>
    <w:p w14:paraId="292971C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仿宋" w:hAnsi="仿宋" w:eastAsia="仿宋" w:cs="仿宋"/>
          <w:i w:val="0"/>
          <w:iCs w:val="0"/>
          <w:caps w:val="0"/>
          <w:color w:val="auto"/>
          <w:spacing w:val="0"/>
          <w:sz w:val="32"/>
          <w:szCs w:val="32"/>
        </w:rPr>
      </w:pPr>
      <w:r>
        <w:rPr>
          <w:rFonts w:hint="eastAsia" w:ascii="宋体" w:hAnsi="宋体" w:eastAsia="宋体" w:cs="宋体"/>
          <w:i w:val="0"/>
          <w:iCs w:val="0"/>
          <w:caps w:val="0"/>
          <w:color w:val="auto"/>
          <w:spacing w:val="0"/>
          <w:sz w:val="24"/>
          <w:szCs w:val="24"/>
          <w:shd w:val="clear" w:fill="FFFFFF"/>
        </w:rPr>
        <w:t>　</w:t>
      </w:r>
      <w:r>
        <w:rPr>
          <w:rFonts w:hint="eastAsia" w:ascii="楷体_GB2312" w:hAnsi="楷体_GB2312" w:eastAsia="楷体_GB2312" w:cs="楷体_GB2312"/>
          <w:i w:val="0"/>
          <w:iCs w:val="0"/>
          <w:caps w:val="0"/>
          <w:color w:val="auto"/>
          <w:spacing w:val="0"/>
          <w:sz w:val="32"/>
          <w:szCs w:val="32"/>
          <w:shd w:val="clear" w:color="auto" w:fill="FFFFFF"/>
        </w:rPr>
        <w:t>（二）主要经济指标</w:t>
      </w:r>
    </w:p>
    <w:p w14:paraId="1F3C8CF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color="auto" w:fill="FFFFFF"/>
        </w:rPr>
        <w:t> 　　</w:t>
      </w:r>
      <w:r>
        <w:rPr>
          <w:rFonts w:hint="eastAsia" w:ascii="仿宋_GB2312" w:hAnsi="仿宋_GB2312" w:eastAsia="仿宋_GB2312" w:cs="仿宋_GB2312"/>
          <w:i w:val="0"/>
          <w:iCs w:val="0"/>
          <w:caps w:val="0"/>
          <w:color w:val="auto"/>
          <w:spacing w:val="0"/>
          <w:sz w:val="32"/>
          <w:szCs w:val="32"/>
          <w:shd w:val="clear" w:color="auto" w:fill="FFFFFF"/>
        </w:rPr>
        <w:t>2023年末，科学研究和技术服务业企业法人单位资产总计</w:t>
      </w:r>
      <w:r>
        <w:rPr>
          <w:rFonts w:hint="eastAsia" w:ascii="仿宋_GB2312" w:hAnsi="仿宋_GB2312" w:eastAsia="仿宋_GB2312" w:cs="仿宋_GB2312"/>
          <w:i w:val="0"/>
          <w:iCs w:val="0"/>
          <w:caps w:val="0"/>
          <w:color w:val="auto"/>
          <w:spacing w:val="0"/>
          <w:sz w:val="32"/>
          <w:szCs w:val="32"/>
          <w:shd w:val="clear" w:color="auto" w:fill="FFFFFF"/>
          <w:lang w:val="en-US" w:eastAsia="zh-CN"/>
        </w:rPr>
        <w:t>1.55亿</w:t>
      </w:r>
      <w:r>
        <w:rPr>
          <w:rFonts w:hint="eastAsia" w:ascii="仿宋_GB2312" w:hAnsi="仿宋_GB2312" w:eastAsia="仿宋_GB2312" w:cs="仿宋_GB2312"/>
          <w:i w:val="0"/>
          <w:iCs w:val="0"/>
          <w:caps w:val="0"/>
          <w:color w:val="auto"/>
          <w:spacing w:val="0"/>
          <w:sz w:val="32"/>
          <w:szCs w:val="32"/>
          <w:shd w:val="clear" w:color="auto" w:fill="FFFFFF"/>
        </w:rPr>
        <w:t>元，比2018年末增长</w:t>
      </w:r>
      <w:r>
        <w:rPr>
          <w:rFonts w:hint="eastAsia" w:ascii="仿宋_GB2312" w:hAnsi="仿宋_GB2312" w:eastAsia="仿宋_GB2312" w:cs="仿宋_GB2312"/>
          <w:i w:val="0"/>
          <w:iCs w:val="0"/>
          <w:caps w:val="0"/>
          <w:color w:val="auto"/>
          <w:spacing w:val="0"/>
          <w:sz w:val="32"/>
          <w:szCs w:val="32"/>
          <w:shd w:val="clear" w:color="auto" w:fill="FFFFFF"/>
          <w:lang w:val="en-US" w:eastAsia="zh-CN"/>
        </w:rPr>
        <w:t>63.2</w:t>
      </w:r>
      <w:r>
        <w:rPr>
          <w:rFonts w:hint="eastAsia" w:ascii="仿宋_GB2312" w:hAnsi="仿宋_GB2312" w:eastAsia="仿宋_GB2312" w:cs="仿宋_GB2312"/>
          <w:i w:val="0"/>
          <w:iCs w:val="0"/>
          <w:caps w:val="0"/>
          <w:color w:val="auto"/>
          <w:spacing w:val="0"/>
          <w:sz w:val="32"/>
          <w:szCs w:val="32"/>
          <w:shd w:val="clear" w:color="auto" w:fill="FFFFFF"/>
        </w:rPr>
        <w:t>%；负债合计</w:t>
      </w:r>
      <w:r>
        <w:rPr>
          <w:rFonts w:hint="eastAsia" w:ascii="仿宋_GB2312" w:hAnsi="仿宋_GB2312" w:eastAsia="仿宋_GB2312" w:cs="仿宋_GB2312"/>
          <w:i w:val="0"/>
          <w:iCs w:val="0"/>
          <w:caps w:val="0"/>
          <w:color w:val="auto"/>
          <w:spacing w:val="0"/>
          <w:sz w:val="32"/>
          <w:szCs w:val="32"/>
          <w:shd w:val="clear" w:color="auto" w:fill="FFFFFF"/>
          <w:lang w:val="en-US" w:eastAsia="zh-CN"/>
        </w:rPr>
        <w:t>1.82亿</w:t>
      </w:r>
      <w:r>
        <w:rPr>
          <w:rFonts w:hint="eastAsia" w:ascii="仿宋_GB2312" w:hAnsi="仿宋_GB2312" w:eastAsia="仿宋_GB2312" w:cs="仿宋_GB2312"/>
          <w:i w:val="0"/>
          <w:iCs w:val="0"/>
          <w:caps w:val="0"/>
          <w:color w:val="auto"/>
          <w:spacing w:val="0"/>
          <w:sz w:val="32"/>
          <w:szCs w:val="32"/>
          <w:shd w:val="clear" w:color="auto" w:fill="FFFFFF"/>
        </w:rPr>
        <w:t>元，</w:t>
      </w:r>
      <w:r>
        <w:rPr>
          <w:rFonts w:hint="eastAsia" w:ascii="仿宋_GB2312" w:hAnsi="仿宋_GB2312" w:eastAsia="仿宋_GB2312" w:cs="仿宋_GB2312"/>
          <w:i w:val="0"/>
          <w:iCs w:val="0"/>
          <w:caps w:val="0"/>
          <w:color w:val="auto"/>
          <w:spacing w:val="0"/>
          <w:sz w:val="32"/>
          <w:szCs w:val="32"/>
          <w:highlight w:val="none"/>
          <w:shd w:val="clear" w:color="auto" w:fill="FFFFFF"/>
        </w:rPr>
        <w:t>比2018年末增长</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241.8</w:t>
      </w:r>
      <w:r>
        <w:rPr>
          <w:rFonts w:hint="eastAsia" w:ascii="仿宋_GB2312" w:hAnsi="仿宋_GB2312" w:eastAsia="仿宋_GB2312" w:cs="仿宋_GB2312"/>
          <w:i w:val="0"/>
          <w:iCs w:val="0"/>
          <w:caps w:val="0"/>
          <w:color w:val="auto"/>
          <w:spacing w:val="0"/>
          <w:sz w:val="32"/>
          <w:szCs w:val="32"/>
          <w:highlight w:val="none"/>
          <w:shd w:val="clear" w:color="auto" w:fill="FFFFFF"/>
        </w:rPr>
        <w:t>%。</w:t>
      </w:r>
    </w:p>
    <w:p w14:paraId="3C2904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both"/>
        <w:rPr>
          <w:rFonts w:hint="default" w:ascii="Calibri" w:hAnsi="Calibri" w:cs="Calibri"/>
          <w:i w:val="0"/>
          <w:iCs w:val="0"/>
          <w:caps w:val="0"/>
          <w:color w:val="auto"/>
          <w:spacing w:val="0"/>
          <w:sz w:val="24"/>
          <w:szCs w:val="24"/>
        </w:rPr>
      </w:pPr>
      <w:r>
        <w:rPr>
          <w:rFonts w:hint="eastAsia" w:ascii="仿宋_GB2312" w:hAnsi="仿宋_GB2312" w:eastAsia="仿宋_GB2312" w:cs="仿宋_GB2312"/>
          <w:i w:val="0"/>
          <w:iCs w:val="0"/>
          <w:caps w:val="0"/>
          <w:color w:val="auto"/>
          <w:spacing w:val="0"/>
          <w:sz w:val="32"/>
          <w:szCs w:val="32"/>
          <w:shd w:val="clear" w:color="auto" w:fill="FFFFFF"/>
        </w:rPr>
        <w:t>2023年，科学研究和技术服务业企业法人单位全年实现营业收入</w:t>
      </w:r>
      <w:r>
        <w:rPr>
          <w:rFonts w:hint="eastAsia" w:ascii="仿宋_GB2312" w:hAnsi="仿宋_GB2312" w:eastAsia="仿宋_GB2312" w:cs="仿宋_GB2312"/>
          <w:i w:val="0"/>
          <w:iCs w:val="0"/>
          <w:caps w:val="0"/>
          <w:color w:val="auto"/>
          <w:spacing w:val="0"/>
          <w:sz w:val="32"/>
          <w:szCs w:val="32"/>
          <w:shd w:val="clear" w:color="auto" w:fill="FFFFFF"/>
          <w:lang w:val="en-US" w:eastAsia="zh-CN"/>
        </w:rPr>
        <w:t>0.83亿</w:t>
      </w:r>
      <w:r>
        <w:rPr>
          <w:rFonts w:hint="eastAsia" w:ascii="仿宋_GB2312" w:hAnsi="仿宋_GB2312" w:eastAsia="仿宋_GB2312" w:cs="仿宋_GB2312"/>
          <w:i w:val="0"/>
          <w:iCs w:val="0"/>
          <w:caps w:val="0"/>
          <w:color w:val="auto"/>
          <w:spacing w:val="0"/>
          <w:sz w:val="32"/>
          <w:szCs w:val="32"/>
          <w:shd w:val="clear" w:color="auto" w:fill="FFFFFF"/>
        </w:rPr>
        <w:t>元，</w:t>
      </w:r>
      <w:r>
        <w:rPr>
          <w:rFonts w:hint="eastAsia" w:ascii="仿宋_GB2312" w:hAnsi="仿宋_GB2312" w:eastAsia="仿宋_GB2312" w:cs="仿宋_GB2312"/>
          <w:i w:val="0"/>
          <w:iCs w:val="0"/>
          <w:caps w:val="0"/>
          <w:color w:val="auto"/>
          <w:spacing w:val="0"/>
          <w:sz w:val="32"/>
          <w:szCs w:val="32"/>
          <w:highlight w:val="none"/>
          <w:shd w:val="clear" w:color="auto" w:fill="FFFFFF"/>
        </w:rPr>
        <w:t>比2018年增长</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27.9</w:t>
      </w:r>
      <w:r>
        <w:rPr>
          <w:rFonts w:hint="eastAsia" w:ascii="仿宋_GB2312" w:hAnsi="仿宋_GB2312" w:eastAsia="仿宋_GB2312" w:cs="仿宋_GB2312"/>
          <w:i w:val="0"/>
          <w:iCs w:val="0"/>
          <w:caps w:val="0"/>
          <w:color w:val="auto"/>
          <w:spacing w:val="0"/>
          <w:sz w:val="32"/>
          <w:szCs w:val="32"/>
          <w:highlight w:val="none"/>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rPr>
        <w:t>（详见表5-3）。</w:t>
      </w:r>
      <w:r>
        <w:rPr>
          <w:rFonts w:hint="default" w:ascii="Times New Roman" w:hAnsi="Times New Roman" w:cs="Times New Roman"/>
          <w:i w:val="0"/>
          <w:iCs w:val="0"/>
          <w:caps w:val="0"/>
          <w:color w:val="auto"/>
          <w:spacing w:val="0"/>
          <w:sz w:val="24"/>
          <w:szCs w:val="24"/>
          <w:shd w:val="clear" w:color="auto" w:fill="FFFFFF"/>
        </w:rPr>
        <w:t> </w:t>
      </w:r>
    </w:p>
    <w:p w14:paraId="128D82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default" w:ascii="Calibri" w:hAnsi="Calibri" w:cs="Calibri"/>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color="auto" w:fill="FFFFFF"/>
        </w:rPr>
        <w:t>表</w:t>
      </w:r>
      <w:r>
        <w:rPr>
          <w:rFonts w:hint="default" w:ascii="Times New Roman" w:hAnsi="Times New Roman" w:cs="Times New Roman"/>
          <w:b/>
          <w:bCs/>
          <w:i w:val="0"/>
          <w:iCs w:val="0"/>
          <w:caps w:val="0"/>
          <w:color w:val="auto"/>
          <w:spacing w:val="0"/>
          <w:sz w:val="24"/>
          <w:szCs w:val="24"/>
          <w:shd w:val="clear" w:color="auto" w:fill="FFFFFF"/>
        </w:rPr>
        <w:t>5-3</w:t>
      </w:r>
      <w:r>
        <w:rPr>
          <w:rFonts w:hint="eastAsia" w:ascii="宋体" w:hAnsi="宋体" w:eastAsia="宋体" w:cs="宋体"/>
          <w:b/>
          <w:bCs/>
          <w:i w:val="0"/>
          <w:iCs w:val="0"/>
          <w:caps w:val="0"/>
          <w:color w:val="auto"/>
          <w:spacing w:val="0"/>
          <w:sz w:val="24"/>
          <w:szCs w:val="24"/>
          <w:shd w:val="clear" w:color="auto" w:fill="FFFFFF"/>
        </w:rPr>
        <w:t>　按行业大类分组的科学研究和技术服务业企业法人单位主要经济指标</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672"/>
        <w:gridCol w:w="1893"/>
        <w:gridCol w:w="1854"/>
        <w:gridCol w:w="1887"/>
      </w:tblGrid>
      <w:tr w14:paraId="3E9D2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8306" w:type="dxa"/>
            <w:gridSpan w:val="4"/>
            <w:tcBorders>
              <w:top w:val="nil"/>
              <w:left w:val="nil"/>
              <w:bottom w:val="single" w:color="000000" w:sz="12" w:space="0"/>
              <w:right w:val="nil"/>
            </w:tcBorders>
            <w:shd w:val="clear" w:color="auto" w:fill="FFFFFF"/>
            <w:noWrap w:val="0"/>
            <w:vAlign w:val="center"/>
          </w:tcPr>
          <w:p w14:paraId="713744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right"/>
              <w:rPr>
                <w:color w:val="auto"/>
              </w:rPr>
            </w:pPr>
            <w:r>
              <w:rPr>
                <w:rFonts w:hint="eastAsia" w:ascii="宋体" w:hAnsi="宋体" w:eastAsia="宋体" w:cs="宋体"/>
                <w:i w:val="0"/>
                <w:iCs w:val="0"/>
                <w:caps w:val="0"/>
                <w:color w:val="auto"/>
                <w:spacing w:val="0"/>
                <w:sz w:val="21"/>
                <w:szCs w:val="21"/>
              </w:rPr>
              <w:t> </w:t>
            </w:r>
          </w:p>
        </w:tc>
      </w:tr>
      <w:tr w14:paraId="7543C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2672" w:type="dxa"/>
            <w:tcBorders>
              <w:top w:val="single" w:color="000000" w:sz="12" w:space="0"/>
              <w:left w:val="nil"/>
              <w:bottom w:val="single" w:color="000000" w:sz="6" w:space="0"/>
              <w:right w:val="single" w:color="000000" w:sz="6" w:space="0"/>
            </w:tcBorders>
            <w:shd w:val="clear" w:color="auto" w:fill="FFFFFF"/>
            <w:noWrap w:val="0"/>
            <w:vAlign w:val="center"/>
          </w:tcPr>
          <w:p w14:paraId="5AA3E5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default" w:ascii="Times New Roman" w:hAnsi="Times New Roman" w:cs="Times New Roman"/>
                <w:i w:val="0"/>
                <w:iCs w:val="0"/>
                <w:caps w:val="0"/>
                <w:color w:val="auto"/>
                <w:spacing w:val="0"/>
                <w:sz w:val="21"/>
                <w:szCs w:val="21"/>
              </w:rPr>
              <w:t> </w:t>
            </w:r>
          </w:p>
        </w:tc>
        <w:tc>
          <w:tcPr>
            <w:tcW w:w="1893" w:type="dxa"/>
            <w:tcBorders>
              <w:top w:val="single" w:color="000000" w:sz="12" w:space="0"/>
              <w:left w:val="single" w:color="000000" w:sz="6" w:space="0"/>
              <w:bottom w:val="single" w:color="000000" w:sz="6" w:space="0"/>
              <w:right w:val="single" w:color="000000" w:sz="6" w:space="0"/>
            </w:tcBorders>
            <w:shd w:val="clear" w:color="auto" w:fill="FFFFFF"/>
            <w:noWrap w:val="0"/>
            <w:vAlign w:val="center"/>
          </w:tcPr>
          <w:p w14:paraId="15071F1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1"/>
                <w:szCs w:val="21"/>
              </w:rPr>
              <w:t>资产总计</w:t>
            </w:r>
          </w:p>
          <w:p w14:paraId="5B763D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1"/>
                <w:szCs w:val="21"/>
              </w:rPr>
              <w:t>（</w:t>
            </w:r>
            <w:r>
              <w:rPr>
                <w:rFonts w:hint="eastAsia" w:ascii="宋体" w:hAnsi="宋体" w:eastAsia="宋体" w:cs="宋体"/>
                <w:i w:val="0"/>
                <w:iCs w:val="0"/>
                <w:caps w:val="0"/>
                <w:color w:val="auto"/>
                <w:spacing w:val="0"/>
                <w:sz w:val="21"/>
                <w:szCs w:val="21"/>
                <w:lang w:val="en-US" w:eastAsia="zh-CN"/>
              </w:rPr>
              <w:t>亿</w:t>
            </w:r>
            <w:r>
              <w:rPr>
                <w:rFonts w:hint="eastAsia" w:ascii="宋体" w:hAnsi="宋体" w:eastAsia="宋体" w:cs="宋体"/>
                <w:i w:val="0"/>
                <w:iCs w:val="0"/>
                <w:caps w:val="0"/>
                <w:color w:val="auto"/>
                <w:spacing w:val="0"/>
                <w:sz w:val="21"/>
                <w:szCs w:val="21"/>
              </w:rPr>
              <w:t>元）</w:t>
            </w:r>
          </w:p>
        </w:tc>
        <w:tc>
          <w:tcPr>
            <w:tcW w:w="1854" w:type="dxa"/>
            <w:tcBorders>
              <w:top w:val="single" w:color="000000" w:sz="12" w:space="0"/>
              <w:left w:val="single" w:color="000000" w:sz="6" w:space="0"/>
              <w:bottom w:val="single" w:color="000000" w:sz="6" w:space="0"/>
              <w:right w:val="single" w:color="000000" w:sz="6" w:space="0"/>
            </w:tcBorders>
            <w:shd w:val="clear" w:color="auto" w:fill="FFFFFF"/>
            <w:noWrap w:val="0"/>
            <w:vAlign w:val="center"/>
          </w:tcPr>
          <w:p w14:paraId="711BAF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1"/>
                <w:szCs w:val="21"/>
              </w:rPr>
              <w:t>负债合计</w:t>
            </w:r>
          </w:p>
          <w:p w14:paraId="52F366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1"/>
                <w:szCs w:val="21"/>
              </w:rPr>
              <w:t>（</w:t>
            </w:r>
            <w:r>
              <w:rPr>
                <w:rFonts w:hint="eastAsia" w:ascii="宋体" w:hAnsi="宋体" w:eastAsia="宋体" w:cs="宋体"/>
                <w:i w:val="0"/>
                <w:iCs w:val="0"/>
                <w:caps w:val="0"/>
                <w:color w:val="auto"/>
                <w:spacing w:val="0"/>
                <w:sz w:val="21"/>
                <w:szCs w:val="21"/>
                <w:lang w:val="en-US" w:eastAsia="zh-CN"/>
              </w:rPr>
              <w:t>亿</w:t>
            </w:r>
            <w:r>
              <w:rPr>
                <w:rFonts w:hint="eastAsia" w:ascii="宋体" w:hAnsi="宋体" w:eastAsia="宋体" w:cs="宋体"/>
                <w:i w:val="0"/>
                <w:iCs w:val="0"/>
                <w:caps w:val="0"/>
                <w:color w:val="auto"/>
                <w:spacing w:val="0"/>
                <w:sz w:val="21"/>
                <w:szCs w:val="21"/>
              </w:rPr>
              <w:t>元）</w:t>
            </w:r>
          </w:p>
        </w:tc>
        <w:tc>
          <w:tcPr>
            <w:tcW w:w="1887" w:type="dxa"/>
            <w:tcBorders>
              <w:top w:val="single" w:color="000000" w:sz="12" w:space="0"/>
              <w:left w:val="single" w:color="000000" w:sz="6" w:space="0"/>
              <w:bottom w:val="single" w:color="000000" w:sz="6" w:space="0"/>
              <w:right w:val="nil"/>
            </w:tcBorders>
            <w:shd w:val="clear" w:color="auto" w:fill="FFFFFF"/>
            <w:noWrap w:val="0"/>
            <w:vAlign w:val="center"/>
          </w:tcPr>
          <w:p w14:paraId="7D8806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1"/>
                <w:szCs w:val="21"/>
              </w:rPr>
              <w:t>营业收入</w:t>
            </w:r>
          </w:p>
          <w:p w14:paraId="414C944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1"/>
                <w:szCs w:val="21"/>
              </w:rPr>
              <w:t>（</w:t>
            </w:r>
            <w:r>
              <w:rPr>
                <w:rFonts w:hint="eastAsia" w:ascii="宋体" w:hAnsi="宋体" w:eastAsia="宋体" w:cs="宋体"/>
                <w:i w:val="0"/>
                <w:iCs w:val="0"/>
                <w:caps w:val="0"/>
                <w:color w:val="auto"/>
                <w:spacing w:val="0"/>
                <w:sz w:val="21"/>
                <w:szCs w:val="21"/>
                <w:lang w:val="en-US" w:eastAsia="zh-CN"/>
              </w:rPr>
              <w:t>亿</w:t>
            </w:r>
            <w:r>
              <w:rPr>
                <w:rFonts w:hint="eastAsia" w:ascii="宋体" w:hAnsi="宋体" w:eastAsia="宋体" w:cs="宋体"/>
                <w:i w:val="0"/>
                <w:iCs w:val="0"/>
                <w:caps w:val="0"/>
                <w:color w:val="auto"/>
                <w:spacing w:val="0"/>
                <w:sz w:val="21"/>
                <w:szCs w:val="21"/>
              </w:rPr>
              <w:t>元）</w:t>
            </w:r>
          </w:p>
        </w:tc>
      </w:tr>
      <w:tr w14:paraId="316CB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3" w:hRule="atLeast"/>
        </w:trPr>
        <w:tc>
          <w:tcPr>
            <w:tcW w:w="2672" w:type="dxa"/>
            <w:tcBorders>
              <w:top w:val="single" w:color="000000" w:sz="6" w:space="0"/>
              <w:left w:val="nil"/>
              <w:bottom w:val="nil"/>
              <w:right w:val="single" w:color="000000" w:sz="6" w:space="0"/>
            </w:tcBorders>
            <w:shd w:val="clear" w:color="auto" w:fill="FFFFFF"/>
            <w:noWrap w:val="0"/>
            <w:vAlign w:val="center"/>
          </w:tcPr>
          <w:p w14:paraId="4FFCDF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rPr>
            </w:pPr>
            <w:r>
              <w:rPr>
                <w:rFonts w:hint="eastAsia" w:ascii="宋体" w:hAnsi="宋体" w:eastAsia="宋体" w:cs="宋体"/>
                <w:b/>
                <w:bCs/>
                <w:i w:val="0"/>
                <w:iCs w:val="0"/>
                <w:caps w:val="0"/>
                <w:color w:val="auto"/>
                <w:spacing w:val="0"/>
                <w:sz w:val="21"/>
                <w:szCs w:val="21"/>
              </w:rPr>
              <w:t>合　计</w:t>
            </w:r>
          </w:p>
        </w:tc>
        <w:tc>
          <w:tcPr>
            <w:tcW w:w="1893" w:type="dxa"/>
            <w:tcBorders>
              <w:top w:val="single" w:color="000000" w:sz="6" w:space="0"/>
              <w:left w:val="single" w:color="000000" w:sz="6" w:space="0"/>
              <w:bottom w:val="nil"/>
              <w:right w:val="single" w:color="000000" w:sz="6" w:space="0"/>
            </w:tcBorders>
            <w:shd w:val="clear" w:color="auto" w:fill="FFFFFF"/>
            <w:noWrap w:val="0"/>
            <w:vAlign w:val="center"/>
          </w:tcPr>
          <w:p w14:paraId="4CE053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b/>
                <w:bCs/>
                <w:i w:val="0"/>
                <w:iCs w:val="0"/>
                <w:caps w:val="0"/>
                <w:color w:val="auto"/>
                <w:spacing w:val="0"/>
                <w:sz w:val="21"/>
                <w:szCs w:val="21"/>
                <w:lang w:val="en-US" w:eastAsia="zh-CN"/>
              </w:rPr>
              <w:t>1.55</w:t>
            </w:r>
          </w:p>
        </w:tc>
        <w:tc>
          <w:tcPr>
            <w:tcW w:w="1854" w:type="dxa"/>
            <w:tcBorders>
              <w:top w:val="single" w:color="000000" w:sz="6" w:space="0"/>
              <w:left w:val="single" w:color="000000" w:sz="6" w:space="0"/>
              <w:bottom w:val="nil"/>
              <w:right w:val="single" w:color="000000" w:sz="6" w:space="0"/>
            </w:tcBorders>
            <w:shd w:val="clear" w:color="auto" w:fill="FFFFFF"/>
            <w:noWrap w:val="0"/>
            <w:vAlign w:val="center"/>
          </w:tcPr>
          <w:p w14:paraId="75F30E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b/>
                <w:bCs/>
                <w:i w:val="0"/>
                <w:iCs w:val="0"/>
                <w:caps w:val="0"/>
                <w:color w:val="auto"/>
                <w:spacing w:val="0"/>
                <w:sz w:val="21"/>
                <w:szCs w:val="21"/>
                <w:lang w:val="en-US" w:eastAsia="zh-CN"/>
              </w:rPr>
              <w:t>1.82</w:t>
            </w:r>
          </w:p>
        </w:tc>
        <w:tc>
          <w:tcPr>
            <w:tcW w:w="1887" w:type="dxa"/>
            <w:tcBorders>
              <w:top w:val="single" w:color="000000" w:sz="6" w:space="0"/>
              <w:left w:val="single" w:color="000000" w:sz="6" w:space="0"/>
              <w:bottom w:val="nil"/>
              <w:right w:val="nil"/>
            </w:tcBorders>
            <w:shd w:val="clear" w:color="auto" w:fill="FFFFFF"/>
            <w:noWrap w:val="0"/>
            <w:vAlign w:val="center"/>
          </w:tcPr>
          <w:p w14:paraId="082954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b/>
                <w:bCs/>
                <w:i w:val="0"/>
                <w:iCs w:val="0"/>
                <w:caps w:val="0"/>
                <w:color w:val="auto"/>
                <w:spacing w:val="0"/>
                <w:sz w:val="21"/>
                <w:szCs w:val="21"/>
                <w:lang w:val="en-US" w:eastAsia="zh-CN"/>
              </w:rPr>
              <w:t>0.83</w:t>
            </w:r>
          </w:p>
        </w:tc>
      </w:tr>
      <w:tr w14:paraId="6ED2F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3" w:hRule="atLeast"/>
        </w:trPr>
        <w:tc>
          <w:tcPr>
            <w:tcW w:w="2672" w:type="dxa"/>
            <w:tcBorders>
              <w:top w:val="nil"/>
              <w:left w:val="nil"/>
              <w:bottom w:val="nil"/>
              <w:right w:val="single" w:color="000000" w:sz="6" w:space="0"/>
            </w:tcBorders>
            <w:shd w:val="clear" w:color="auto" w:fill="FFFFFF"/>
            <w:noWrap w:val="0"/>
            <w:vAlign w:val="center"/>
          </w:tcPr>
          <w:p w14:paraId="06F45D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rPr>
            </w:pPr>
            <w:r>
              <w:rPr>
                <w:rFonts w:hint="eastAsia" w:ascii="宋体" w:hAnsi="宋体" w:eastAsia="宋体" w:cs="宋体"/>
                <w:i w:val="0"/>
                <w:iCs w:val="0"/>
                <w:caps w:val="0"/>
                <w:color w:val="auto"/>
                <w:spacing w:val="0"/>
                <w:sz w:val="21"/>
                <w:szCs w:val="21"/>
              </w:rPr>
              <w:t>研究和试验发展</w:t>
            </w:r>
          </w:p>
        </w:tc>
        <w:tc>
          <w:tcPr>
            <w:tcW w:w="1893" w:type="dxa"/>
            <w:tcBorders>
              <w:top w:val="nil"/>
              <w:left w:val="single" w:color="000000" w:sz="6" w:space="0"/>
              <w:bottom w:val="nil"/>
              <w:right w:val="single" w:color="000000" w:sz="6" w:space="0"/>
            </w:tcBorders>
            <w:shd w:val="clear" w:color="auto" w:fill="FFFFFF"/>
            <w:noWrap w:val="0"/>
            <w:vAlign w:val="center"/>
          </w:tcPr>
          <w:p w14:paraId="70AC5E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i w:val="0"/>
                <w:iCs w:val="0"/>
                <w:caps w:val="0"/>
                <w:color w:val="auto"/>
                <w:spacing w:val="0"/>
                <w:sz w:val="21"/>
                <w:szCs w:val="21"/>
                <w:lang w:val="en-US" w:eastAsia="zh-CN"/>
              </w:rPr>
              <w:t>0.58</w:t>
            </w:r>
          </w:p>
        </w:tc>
        <w:tc>
          <w:tcPr>
            <w:tcW w:w="1854" w:type="dxa"/>
            <w:tcBorders>
              <w:top w:val="nil"/>
              <w:left w:val="single" w:color="000000" w:sz="6" w:space="0"/>
              <w:bottom w:val="nil"/>
              <w:right w:val="single" w:color="000000" w:sz="6" w:space="0"/>
            </w:tcBorders>
            <w:shd w:val="clear" w:color="auto" w:fill="FFFFFF"/>
            <w:noWrap w:val="0"/>
            <w:vAlign w:val="center"/>
          </w:tcPr>
          <w:p w14:paraId="1E9210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i w:val="0"/>
                <w:iCs w:val="0"/>
                <w:caps w:val="0"/>
                <w:color w:val="auto"/>
                <w:spacing w:val="0"/>
                <w:sz w:val="21"/>
                <w:szCs w:val="21"/>
                <w:lang w:val="en-US" w:eastAsia="zh-CN"/>
              </w:rPr>
              <w:t>0.55</w:t>
            </w:r>
          </w:p>
        </w:tc>
        <w:tc>
          <w:tcPr>
            <w:tcW w:w="1887" w:type="dxa"/>
            <w:tcBorders>
              <w:top w:val="nil"/>
              <w:left w:val="single" w:color="000000" w:sz="6" w:space="0"/>
              <w:bottom w:val="nil"/>
              <w:right w:val="nil"/>
            </w:tcBorders>
            <w:shd w:val="clear" w:color="auto" w:fill="FFFFFF"/>
            <w:noWrap w:val="0"/>
            <w:vAlign w:val="center"/>
          </w:tcPr>
          <w:p w14:paraId="4346BD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i w:val="0"/>
                <w:iCs w:val="0"/>
                <w:caps w:val="0"/>
                <w:color w:val="auto"/>
                <w:spacing w:val="0"/>
                <w:sz w:val="21"/>
                <w:szCs w:val="21"/>
                <w:lang w:val="en-US" w:eastAsia="zh-CN"/>
              </w:rPr>
              <w:t>0.07</w:t>
            </w:r>
          </w:p>
        </w:tc>
      </w:tr>
      <w:tr w14:paraId="6074B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3" w:hRule="atLeast"/>
        </w:trPr>
        <w:tc>
          <w:tcPr>
            <w:tcW w:w="2672" w:type="dxa"/>
            <w:tcBorders>
              <w:top w:val="nil"/>
              <w:left w:val="nil"/>
              <w:bottom w:val="nil"/>
              <w:right w:val="single" w:color="000000" w:sz="6" w:space="0"/>
            </w:tcBorders>
            <w:shd w:val="clear" w:color="auto" w:fill="FFFFFF"/>
            <w:noWrap w:val="0"/>
            <w:vAlign w:val="center"/>
          </w:tcPr>
          <w:p w14:paraId="6C5D9F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rPr>
            </w:pPr>
            <w:r>
              <w:rPr>
                <w:rFonts w:hint="eastAsia" w:ascii="宋体" w:hAnsi="宋体" w:eastAsia="宋体" w:cs="宋体"/>
                <w:i w:val="0"/>
                <w:iCs w:val="0"/>
                <w:caps w:val="0"/>
                <w:color w:val="auto"/>
                <w:spacing w:val="0"/>
                <w:sz w:val="21"/>
                <w:szCs w:val="21"/>
              </w:rPr>
              <w:t>专业技术服务业</w:t>
            </w:r>
          </w:p>
        </w:tc>
        <w:tc>
          <w:tcPr>
            <w:tcW w:w="1893" w:type="dxa"/>
            <w:tcBorders>
              <w:top w:val="nil"/>
              <w:left w:val="single" w:color="000000" w:sz="6" w:space="0"/>
              <w:bottom w:val="nil"/>
              <w:right w:val="single" w:color="000000" w:sz="6" w:space="0"/>
            </w:tcBorders>
            <w:shd w:val="clear" w:color="auto" w:fill="FFFFFF"/>
            <w:noWrap w:val="0"/>
            <w:vAlign w:val="center"/>
          </w:tcPr>
          <w:p w14:paraId="4FED6D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i w:val="0"/>
                <w:iCs w:val="0"/>
                <w:caps w:val="0"/>
                <w:color w:val="auto"/>
                <w:spacing w:val="0"/>
                <w:sz w:val="21"/>
                <w:szCs w:val="21"/>
                <w:lang w:val="en-US" w:eastAsia="zh-CN"/>
              </w:rPr>
              <w:t>0.56</w:t>
            </w:r>
          </w:p>
        </w:tc>
        <w:tc>
          <w:tcPr>
            <w:tcW w:w="1854" w:type="dxa"/>
            <w:tcBorders>
              <w:top w:val="nil"/>
              <w:left w:val="single" w:color="000000" w:sz="6" w:space="0"/>
              <w:bottom w:val="nil"/>
              <w:right w:val="single" w:color="000000" w:sz="6" w:space="0"/>
            </w:tcBorders>
            <w:shd w:val="clear" w:color="auto" w:fill="FFFFFF"/>
            <w:noWrap w:val="0"/>
            <w:vAlign w:val="center"/>
          </w:tcPr>
          <w:p w14:paraId="69FBB11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i w:val="0"/>
                <w:iCs w:val="0"/>
                <w:caps w:val="0"/>
                <w:color w:val="auto"/>
                <w:spacing w:val="0"/>
                <w:sz w:val="21"/>
                <w:szCs w:val="21"/>
                <w:lang w:val="en-US" w:eastAsia="zh-CN"/>
              </w:rPr>
              <w:t>1.03</w:t>
            </w:r>
          </w:p>
        </w:tc>
        <w:tc>
          <w:tcPr>
            <w:tcW w:w="1887" w:type="dxa"/>
            <w:tcBorders>
              <w:top w:val="nil"/>
              <w:left w:val="single" w:color="000000" w:sz="6" w:space="0"/>
              <w:bottom w:val="nil"/>
              <w:right w:val="nil"/>
            </w:tcBorders>
            <w:shd w:val="clear" w:color="auto" w:fill="FFFFFF"/>
            <w:noWrap w:val="0"/>
            <w:vAlign w:val="center"/>
          </w:tcPr>
          <w:p w14:paraId="4C7454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i w:val="0"/>
                <w:iCs w:val="0"/>
                <w:caps w:val="0"/>
                <w:color w:val="auto"/>
                <w:spacing w:val="0"/>
                <w:sz w:val="21"/>
                <w:szCs w:val="21"/>
                <w:lang w:val="en-US" w:eastAsia="zh-CN"/>
              </w:rPr>
              <w:t>0.40</w:t>
            </w:r>
          </w:p>
        </w:tc>
      </w:tr>
      <w:tr w14:paraId="421DC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3" w:hRule="atLeast"/>
        </w:trPr>
        <w:tc>
          <w:tcPr>
            <w:tcW w:w="2672" w:type="dxa"/>
            <w:tcBorders>
              <w:top w:val="nil"/>
              <w:left w:val="nil"/>
              <w:bottom w:val="single" w:color="000000" w:sz="12" w:space="0"/>
              <w:right w:val="single" w:color="000000" w:sz="6" w:space="0"/>
            </w:tcBorders>
            <w:shd w:val="clear" w:color="auto" w:fill="FFFFFF"/>
            <w:noWrap w:val="0"/>
            <w:vAlign w:val="center"/>
          </w:tcPr>
          <w:p w14:paraId="6EBFC9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rPr>
            </w:pPr>
            <w:r>
              <w:rPr>
                <w:rFonts w:hint="eastAsia" w:ascii="宋体" w:hAnsi="宋体" w:eastAsia="宋体" w:cs="宋体"/>
                <w:i w:val="0"/>
                <w:iCs w:val="0"/>
                <w:caps w:val="0"/>
                <w:color w:val="auto"/>
                <w:spacing w:val="0"/>
                <w:sz w:val="21"/>
                <w:szCs w:val="21"/>
              </w:rPr>
              <w:t>科技推广和应用服务业</w:t>
            </w:r>
          </w:p>
        </w:tc>
        <w:tc>
          <w:tcPr>
            <w:tcW w:w="1893" w:type="dxa"/>
            <w:tcBorders>
              <w:top w:val="nil"/>
              <w:left w:val="single" w:color="000000" w:sz="6" w:space="0"/>
              <w:bottom w:val="single" w:color="000000" w:sz="12" w:space="0"/>
              <w:right w:val="single" w:color="000000" w:sz="6" w:space="0"/>
            </w:tcBorders>
            <w:shd w:val="clear" w:color="auto" w:fill="FFFFFF"/>
            <w:noWrap w:val="0"/>
            <w:vAlign w:val="center"/>
          </w:tcPr>
          <w:p w14:paraId="209A02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i w:val="0"/>
                <w:iCs w:val="0"/>
                <w:caps w:val="0"/>
                <w:color w:val="auto"/>
                <w:spacing w:val="0"/>
                <w:sz w:val="21"/>
                <w:szCs w:val="21"/>
                <w:lang w:val="en-US" w:eastAsia="zh-CN"/>
              </w:rPr>
              <w:t>0.41</w:t>
            </w:r>
          </w:p>
        </w:tc>
        <w:tc>
          <w:tcPr>
            <w:tcW w:w="1854" w:type="dxa"/>
            <w:tcBorders>
              <w:top w:val="nil"/>
              <w:left w:val="single" w:color="000000" w:sz="6" w:space="0"/>
              <w:bottom w:val="single" w:color="000000" w:sz="12" w:space="0"/>
              <w:right w:val="single" w:color="000000" w:sz="6" w:space="0"/>
            </w:tcBorders>
            <w:shd w:val="clear" w:color="auto" w:fill="FFFFFF"/>
            <w:noWrap w:val="0"/>
            <w:vAlign w:val="center"/>
          </w:tcPr>
          <w:p w14:paraId="4D845F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i w:val="0"/>
                <w:iCs w:val="0"/>
                <w:caps w:val="0"/>
                <w:color w:val="auto"/>
                <w:spacing w:val="0"/>
                <w:sz w:val="21"/>
                <w:szCs w:val="21"/>
                <w:lang w:val="en-US" w:eastAsia="zh-CN"/>
              </w:rPr>
              <w:t>0.24</w:t>
            </w:r>
          </w:p>
        </w:tc>
        <w:tc>
          <w:tcPr>
            <w:tcW w:w="1887" w:type="dxa"/>
            <w:tcBorders>
              <w:top w:val="nil"/>
              <w:left w:val="single" w:color="000000" w:sz="6" w:space="0"/>
              <w:bottom w:val="single" w:color="000000" w:sz="12" w:space="0"/>
              <w:right w:val="nil"/>
            </w:tcBorders>
            <w:shd w:val="clear" w:color="auto" w:fill="FFFFFF"/>
            <w:noWrap w:val="0"/>
            <w:vAlign w:val="center"/>
          </w:tcPr>
          <w:p w14:paraId="068A71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i w:val="0"/>
                <w:iCs w:val="0"/>
                <w:caps w:val="0"/>
                <w:color w:val="auto"/>
                <w:spacing w:val="0"/>
                <w:sz w:val="21"/>
                <w:szCs w:val="21"/>
                <w:lang w:val="en-US" w:eastAsia="zh-CN"/>
              </w:rPr>
              <w:t>0.36</w:t>
            </w:r>
          </w:p>
        </w:tc>
      </w:tr>
    </w:tbl>
    <w:p w14:paraId="36ECA0E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黑体" w:hAnsi="黑体" w:eastAsia="黑体" w:cs="黑体"/>
          <w:b w:val="0"/>
          <w:bCs w:val="0"/>
          <w:i w:val="0"/>
          <w:iCs w:val="0"/>
          <w:caps w:val="0"/>
          <w:color w:val="auto"/>
          <w:spacing w:val="0"/>
          <w:sz w:val="32"/>
          <w:szCs w:val="32"/>
          <w:shd w:val="clear" w:color="auto" w:fill="FFFFFF"/>
        </w:rPr>
      </w:pPr>
    </w:p>
    <w:p w14:paraId="4253A086">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黑体" w:hAnsi="黑体" w:eastAsia="黑体" w:cs="黑体"/>
          <w:b w:val="0"/>
          <w:bCs w:val="0"/>
          <w:i w:val="0"/>
          <w:iCs w:val="0"/>
          <w:caps w:val="0"/>
          <w:color w:val="auto"/>
          <w:spacing w:val="0"/>
          <w:sz w:val="32"/>
          <w:szCs w:val="32"/>
          <w:shd w:val="clear" w:color="auto" w:fill="FFFFFF"/>
        </w:rPr>
      </w:pPr>
      <w:r>
        <w:rPr>
          <w:rFonts w:hint="eastAsia" w:ascii="黑体" w:hAnsi="黑体" w:eastAsia="黑体" w:cs="黑体"/>
          <w:b w:val="0"/>
          <w:bCs w:val="0"/>
          <w:i w:val="0"/>
          <w:iCs w:val="0"/>
          <w:caps w:val="0"/>
          <w:color w:val="auto"/>
          <w:spacing w:val="0"/>
          <w:sz w:val="32"/>
          <w:szCs w:val="32"/>
          <w:shd w:val="clear" w:color="auto" w:fill="FFFFFF"/>
        </w:rPr>
        <w:t>水利、环境和公共设施管理业</w:t>
      </w:r>
    </w:p>
    <w:p w14:paraId="2D3A49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both"/>
        <w:rPr>
          <w:rFonts w:hint="eastAsia" w:ascii="楷体_GB2312" w:hAnsi="楷体_GB2312" w:eastAsia="楷体_GB2312" w:cs="楷体_GB2312"/>
          <w:i w:val="0"/>
          <w:iCs w:val="0"/>
          <w:caps w:val="0"/>
          <w:color w:val="auto"/>
          <w:spacing w:val="0"/>
          <w:sz w:val="32"/>
          <w:szCs w:val="32"/>
        </w:rPr>
      </w:pPr>
      <w:r>
        <w:rPr>
          <w:rFonts w:hint="eastAsia" w:ascii="楷体_GB2312" w:hAnsi="楷体_GB2312" w:eastAsia="楷体_GB2312" w:cs="楷体_GB2312"/>
          <w:i w:val="0"/>
          <w:iCs w:val="0"/>
          <w:caps w:val="0"/>
          <w:color w:val="auto"/>
          <w:spacing w:val="0"/>
          <w:sz w:val="32"/>
          <w:szCs w:val="32"/>
          <w:shd w:val="clear" w:color="auto" w:fill="FFFFFF"/>
        </w:rPr>
        <w:t>（一）法人单位数和从业人员</w:t>
      </w:r>
    </w:p>
    <w:p w14:paraId="7D0E3C7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仿宋" w:hAnsi="仿宋" w:eastAsia="仿宋" w:cs="仿宋"/>
          <w:i w:val="0"/>
          <w:iCs w:val="0"/>
          <w:caps w:val="0"/>
          <w:color w:val="auto"/>
          <w:spacing w:val="0"/>
          <w:sz w:val="32"/>
          <w:szCs w:val="32"/>
          <w:highlight w:val="yellow"/>
          <w:shd w:val="clear" w:fill="FFFFFF"/>
        </w:rPr>
      </w:pPr>
      <w:r>
        <w:rPr>
          <w:rFonts w:hint="eastAsia" w:ascii="仿宋" w:hAnsi="仿宋" w:eastAsia="仿宋" w:cs="仿宋"/>
          <w:i w:val="0"/>
          <w:iCs w:val="0"/>
          <w:caps w:val="0"/>
          <w:color w:val="auto"/>
          <w:spacing w:val="0"/>
          <w:sz w:val="32"/>
          <w:szCs w:val="32"/>
          <w:shd w:val="clear" w:color="auto" w:fill="FFFFFF"/>
        </w:rPr>
        <w:t> 　</w:t>
      </w:r>
      <w:r>
        <w:rPr>
          <w:rFonts w:hint="eastAsia" w:ascii="仿宋" w:hAnsi="仿宋" w:eastAsia="仿宋" w:cs="仿宋"/>
          <w:i w:val="0"/>
          <w:iCs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sz w:val="32"/>
          <w:szCs w:val="32"/>
          <w:highlight w:val="none"/>
          <w:shd w:val="clear" w:color="auto" w:fill="FFFFFF"/>
        </w:rPr>
        <w:t>2023年末，</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全县</w:t>
      </w:r>
      <w:r>
        <w:rPr>
          <w:rFonts w:hint="eastAsia" w:ascii="仿宋_GB2312" w:hAnsi="仿宋_GB2312" w:eastAsia="仿宋_GB2312" w:cs="仿宋_GB2312"/>
          <w:i w:val="0"/>
          <w:iCs w:val="0"/>
          <w:caps w:val="0"/>
          <w:color w:val="auto"/>
          <w:spacing w:val="0"/>
          <w:sz w:val="32"/>
          <w:szCs w:val="32"/>
          <w:highlight w:val="none"/>
          <w:shd w:val="clear" w:color="auto" w:fill="FFFFFF"/>
        </w:rPr>
        <w:t>共有水利、环境和公共设施管理业法人单位</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38</w:t>
      </w:r>
      <w:r>
        <w:rPr>
          <w:rFonts w:hint="eastAsia" w:ascii="仿宋_GB2312" w:hAnsi="仿宋_GB2312" w:eastAsia="仿宋_GB2312" w:cs="仿宋_GB2312"/>
          <w:i w:val="0"/>
          <w:iCs w:val="0"/>
          <w:caps w:val="0"/>
          <w:color w:val="auto"/>
          <w:spacing w:val="0"/>
          <w:sz w:val="32"/>
          <w:szCs w:val="32"/>
          <w:highlight w:val="none"/>
          <w:shd w:val="clear" w:color="auto" w:fill="FFFFFF"/>
        </w:rPr>
        <w:t>个，从业人员</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754</w:t>
      </w:r>
      <w:r>
        <w:rPr>
          <w:rFonts w:hint="eastAsia" w:ascii="仿宋_GB2312" w:hAnsi="仿宋_GB2312" w:eastAsia="仿宋_GB2312" w:cs="仿宋_GB2312"/>
          <w:i w:val="0"/>
          <w:iCs w:val="0"/>
          <w:caps w:val="0"/>
          <w:color w:val="auto"/>
          <w:spacing w:val="0"/>
          <w:sz w:val="32"/>
          <w:szCs w:val="32"/>
          <w:highlight w:val="none"/>
          <w:shd w:val="clear" w:color="auto" w:fill="FFFFFF"/>
        </w:rPr>
        <w:t>人，分别比2018年末</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增长</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375.0%</w:t>
      </w:r>
      <w:r>
        <w:rPr>
          <w:rFonts w:hint="eastAsia" w:ascii="仿宋_GB2312" w:hAnsi="仿宋_GB2312" w:eastAsia="仿宋_GB2312" w:cs="仿宋_GB2312"/>
          <w:i w:val="0"/>
          <w:iCs w:val="0"/>
          <w:caps w:val="0"/>
          <w:color w:val="auto"/>
          <w:spacing w:val="0"/>
          <w:sz w:val="32"/>
          <w:szCs w:val="32"/>
          <w:highlight w:val="none"/>
          <w:shd w:val="clear" w:color="auto" w:fill="FFFFFF"/>
        </w:rPr>
        <w:t>和</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1270.9</w:t>
      </w:r>
      <w:r>
        <w:rPr>
          <w:rFonts w:hint="eastAsia" w:ascii="仿宋_GB2312" w:hAnsi="仿宋_GB2312" w:eastAsia="仿宋_GB2312" w:cs="仿宋_GB2312"/>
          <w:i w:val="0"/>
          <w:iCs w:val="0"/>
          <w:caps w:val="0"/>
          <w:color w:val="auto"/>
          <w:spacing w:val="0"/>
          <w:sz w:val="32"/>
          <w:szCs w:val="32"/>
          <w:highlight w:val="none"/>
          <w:shd w:val="clear" w:color="auto" w:fill="FFFFFF"/>
        </w:rPr>
        <w:t>%。</w:t>
      </w:r>
      <w:r>
        <w:rPr>
          <w:rFonts w:hint="eastAsia" w:ascii="仿宋_GB2312" w:hAnsi="仿宋_GB2312" w:eastAsia="仿宋_GB2312" w:cs="仿宋_GB2312"/>
          <w:i w:val="0"/>
          <w:iCs w:val="0"/>
          <w:caps w:val="0"/>
          <w:color w:val="auto"/>
          <w:spacing w:val="0"/>
          <w:sz w:val="32"/>
          <w:szCs w:val="32"/>
          <w:highlight w:val="none"/>
          <w:shd w:val="clear" w:fill="FFFFFF"/>
        </w:rPr>
        <w:t>其中，行政事业及非企业法人单位</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7</w:t>
      </w:r>
      <w:r>
        <w:rPr>
          <w:rFonts w:hint="eastAsia" w:ascii="仿宋_GB2312" w:hAnsi="仿宋_GB2312" w:eastAsia="仿宋_GB2312" w:cs="仿宋_GB2312"/>
          <w:i w:val="0"/>
          <w:iCs w:val="0"/>
          <w:caps w:val="0"/>
          <w:color w:val="auto"/>
          <w:spacing w:val="0"/>
          <w:sz w:val="32"/>
          <w:szCs w:val="32"/>
          <w:highlight w:val="none"/>
          <w:shd w:val="clear" w:fill="FFFFFF"/>
        </w:rPr>
        <w:t>个，比2018年末</w:t>
      </w:r>
      <w:r>
        <w:rPr>
          <w:rFonts w:hint="eastAsia" w:ascii="仿宋_GB2312" w:hAnsi="仿宋_GB2312" w:eastAsia="仿宋_GB2312" w:cs="仿宋_GB2312"/>
          <w:i w:val="0"/>
          <w:iCs w:val="0"/>
          <w:caps w:val="0"/>
          <w:color w:val="auto"/>
          <w:spacing w:val="0"/>
          <w:sz w:val="32"/>
          <w:szCs w:val="32"/>
          <w:highlight w:val="none"/>
          <w:shd w:val="clear" w:fill="FFFFFF"/>
          <w:lang w:eastAsia="zh-CN"/>
        </w:rPr>
        <w:t>增长</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600.0</w:t>
      </w:r>
      <w:r>
        <w:rPr>
          <w:rFonts w:hint="eastAsia" w:ascii="仿宋_GB2312" w:hAnsi="仿宋_GB2312" w:eastAsia="仿宋_GB2312" w:cs="仿宋_GB2312"/>
          <w:i w:val="0"/>
          <w:iCs w:val="0"/>
          <w:caps w:val="0"/>
          <w:color w:val="auto"/>
          <w:spacing w:val="0"/>
          <w:sz w:val="32"/>
          <w:szCs w:val="32"/>
          <w:highlight w:val="none"/>
          <w:shd w:val="clear" w:fill="FFFFFF"/>
        </w:rPr>
        <w:t>%；从业人员</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86</w:t>
      </w:r>
      <w:r>
        <w:rPr>
          <w:rFonts w:hint="eastAsia" w:ascii="仿宋_GB2312" w:hAnsi="仿宋_GB2312" w:eastAsia="仿宋_GB2312" w:cs="仿宋_GB2312"/>
          <w:i w:val="0"/>
          <w:iCs w:val="0"/>
          <w:caps w:val="0"/>
          <w:color w:val="auto"/>
          <w:spacing w:val="0"/>
          <w:sz w:val="32"/>
          <w:szCs w:val="32"/>
          <w:highlight w:val="none"/>
          <w:shd w:val="clear" w:fill="FFFFFF"/>
        </w:rPr>
        <w:t>人，比2018年末增长</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1620.0</w:t>
      </w:r>
      <w:r>
        <w:rPr>
          <w:rFonts w:hint="eastAsia" w:ascii="仿宋_GB2312" w:hAnsi="仿宋_GB2312" w:eastAsia="仿宋_GB2312" w:cs="仿宋_GB2312"/>
          <w:i w:val="0"/>
          <w:iCs w:val="0"/>
          <w:caps w:val="0"/>
          <w:color w:val="auto"/>
          <w:spacing w:val="0"/>
          <w:sz w:val="32"/>
          <w:szCs w:val="32"/>
          <w:highlight w:val="none"/>
          <w:shd w:val="clear" w:fill="FFFFFF"/>
        </w:rPr>
        <w:t>%。</w:t>
      </w:r>
    </w:p>
    <w:p w14:paraId="3D6709A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both"/>
        <w:rPr>
          <w:rFonts w:hint="eastAsia" w:ascii="楷体_GB2312" w:hAnsi="楷体_GB2312" w:eastAsia="楷体_GB2312" w:cs="楷体_GB2312"/>
          <w:i w:val="0"/>
          <w:iCs w:val="0"/>
          <w:caps w:val="0"/>
          <w:color w:val="auto"/>
          <w:spacing w:val="0"/>
          <w:sz w:val="32"/>
          <w:szCs w:val="32"/>
        </w:rPr>
      </w:pPr>
      <w:r>
        <w:rPr>
          <w:rFonts w:hint="eastAsia" w:ascii="楷体_GB2312" w:hAnsi="楷体_GB2312" w:eastAsia="楷体_GB2312" w:cs="楷体_GB2312"/>
          <w:i w:val="0"/>
          <w:iCs w:val="0"/>
          <w:caps w:val="0"/>
          <w:color w:val="auto"/>
          <w:spacing w:val="0"/>
          <w:sz w:val="32"/>
          <w:szCs w:val="32"/>
          <w:shd w:val="clear" w:color="auto" w:fill="FFFFFF"/>
        </w:rPr>
        <w:t>（二）主要经济指标</w:t>
      </w:r>
    </w:p>
    <w:p w14:paraId="677A67B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2023年末，水利、环境和公共设施管理业企业法人单位资产总计</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6.96亿</w:t>
      </w:r>
      <w:r>
        <w:rPr>
          <w:rFonts w:hint="eastAsia" w:ascii="仿宋_GB2312" w:hAnsi="仿宋_GB2312" w:eastAsia="仿宋_GB2312" w:cs="仿宋_GB2312"/>
          <w:i w:val="0"/>
          <w:iCs w:val="0"/>
          <w:caps w:val="0"/>
          <w:color w:val="auto"/>
          <w:spacing w:val="0"/>
          <w:sz w:val="32"/>
          <w:szCs w:val="32"/>
          <w:highlight w:val="none"/>
          <w:shd w:val="clear" w:color="auto" w:fill="FFFFFF"/>
        </w:rPr>
        <w:t>元，比2018年末增长</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1440.4</w:t>
      </w:r>
      <w:r>
        <w:rPr>
          <w:rFonts w:hint="eastAsia" w:ascii="仿宋_GB2312" w:hAnsi="仿宋_GB2312" w:eastAsia="仿宋_GB2312" w:cs="仿宋_GB2312"/>
          <w:i w:val="0"/>
          <w:iCs w:val="0"/>
          <w:caps w:val="0"/>
          <w:color w:val="auto"/>
          <w:spacing w:val="0"/>
          <w:sz w:val="32"/>
          <w:szCs w:val="32"/>
          <w:highlight w:val="none"/>
          <w:shd w:val="clear" w:color="auto" w:fill="FFFFFF"/>
        </w:rPr>
        <w:t>%；负债合计</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4.80亿</w:t>
      </w:r>
      <w:r>
        <w:rPr>
          <w:rFonts w:hint="eastAsia" w:ascii="仿宋_GB2312" w:hAnsi="仿宋_GB2312" w:eastAsia="仿宋_GB2312" w:cs="仿宋_GB2312"/>
          <w:i w:val="0"/>
          <w:iCs w:val="0"/>
          <w:caps w:val="0"/>
          <w:color w:val="auto"/>
          <w:spacing w:val="0"/>
          <w:sz w:val="32"/>
          <w:szCs w:val="32"/>
          <w:highlight w:val="none"/>
          <w:shd w:val="clear" w:color="auto" w:fill="FFFFFF"/>
        </w:rPr>
        <w:t>元，比2018年末增长</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4012.1</w:t>
      </w:r>
      <w:r>
        <w:rPr>
          <w:rFonts w:hint="eastAsia" w:ascii="仿宋_GB2312" w:hAnsi="仿宋_GB2312" w:eastAsia="仿宋_GB2312" w:cs="仿宋_GB2312"/>
          <w:i w:val="0"/>
          <w:iCs w:val="0"/>
          <w:caps w:val="0"/>
          <w:color w:val="auto"/>
          <w:spacing w:val="0"/>
          <w:sz w:val="32"/>
          <w:szCs w:val="32"/>
          <w:highlight w:val="none"/>
          <w:shd w:val="clear" w:color="auto" w:fill="FFFFFF"/>
        </w:rPr>
        <w:t>%。全年实现营业收入</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0.74亿</w:t>
      </w:r>
      <w:r>
        <w:rPr>
          <w:rFonts w:hint="eastAsia" w:ascii="仿宋_GB2312" w:hAnsi="仿宋_GB2312" w:eastAsia="仿宋_GB2312" w:cs="仿宋_GB2312"/>
          <w:i w:val="0"/>
          <w:iCs w:val="0"/>
          <w:caps w:val="0"/>
          <w:color w:val="auto"/>
          <w:spacing w:val="0"/>
          <w:sz w:val="32"/>
          <w:szCs w:val="32"/>
          <w:highlight w:val="none"/>
          <w:shd w:val="clear" w:color="auto" w:fill="FFFFFF"/>
        </w:rPr>
        <w:t>元，比2018年增长</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898.1</w:t>
      </w:r>
      <w:r>
        <w:rPr>
          <w:rFonts w:hint="eastAsia" w:ascii="仿宋_GB2312" w:hAnsi="仿宋_GB2312" w:eastAsia="仿宋_GB2312" w:cs="仿宋_GB2312"/>
          <w:i w:val="0"/>
          <w:iCs w:val="0"/>
          <w:caps w:val="0"/>
          <w:color w:val="auto"/>
          <w:spacing w:val="0"/>
          <w:sz w:val="32"/>
          <w:szCs w:val="32"/>
          <w:highlight w:val="none"/>
          <w:shd w:val="clear" w:color="auto" w:fill="FFFFFF"/>
        </w:rPr>
        <w:t>%</w:t>
      </w:r>
    </w:p>
    <w:p w14:paraId="777935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 w:hAnsi="仿宋" w:eastAsia="仿宋" w:cs="仿宋"/>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rPr>
        <w:t>行政事业及非企业法人单位年末资产</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0.</w:t>
      </w:r>
      <w:r>
        <w:rPr>
          <w:rFonts w:hint="eastAsia" w:ascii="仿宋_GB2312" w:hAnsi="仿宋_GB2312" w:eastAsia="仿宋_GB2312" w:cs="仿宋_GB2312"/>
          <w:i w:val="0"/>
          <w:iCs w:val="0"/>
          <w:caps w:val="0"/>
          <w:color w:val="auto"/>
          <w:spacing w:val="0"/>
          <w:sz w:val="32"/>
          <w:szCs w:val="32"/>
          <w:highlight w:val="none"/>
          <w:shd w:val="clear" w:fill="FFFFFF"/>
        </w:rPr>
        <w:t>4</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1亿</w:t>
      </w:r>
      <w:r>
        <w:rPr>
          <w:rFonts w:hint="eastAsia" w:ascii="仿宋_GB2312" w:hAnsi="仿宋_GB2312" w:eastAsia="仿宋_GB2312" w:cs="仿宋_GB2312"/>
          <w:i w:val="0"/>
          <w:iCs w:val="0"/>
          <w:caps w:val="0"/>
          <w:color w:val="auto"/>
          <w:spacing w:val="0"/>
          <w:sz w:val="32"/>
          <w:szCs w:val="32"/>
          <w:highlight w:val="none"/>
          <w:shd w:val="clear" w:fill="FFFFFF"/>
        </w:rPr>
        <w:t>元，比2018年末增长3283.6%。本年支出（费用）合计</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0.</w:t>
      </w:r>
      <w:r>
        <w:rPr>
          <w:rFonts w:hint="eastAsia" w:ascii="仿宋_GB2312" w:hAnsi="仿宋_GB2312" w:eastAsia="仿宋_GB2312" w:cs="仿宋_GB2312"/>
          <w:i w:val="0"/>
          <w:iCs w:val="0"/>
          <w:caps w:val="0"/>
          <w:color w:val="auto"/>
          <w:spacing w:val="0"/>
          <w:sz w:val="32"/>
          <w:szCs w:val="32"/>
          <w:highlight w:val="none"/>
          <w:shd w:val="clear" w:fill="FFFFFF"/>
        </w:rPr>
        <w:t>26</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亿</w:t>
      </w:r>
      <w:r>
        <w:rPr>
          <w:rFonts w:hint="eastAsia" w:ascii="仿宋_GB2312" w:hAnsi="仿宋_GB2312" w:eastAsia="仿宋_GB2312" w:cs="仿宋_GB2312"/>
          <w:i w:val="0"/>
          <w:iCs w:val="0"/>
          <w:caps w:val="0"/>
          <w:color w:val="auto"/>
          <w:spacing w:val="0"/>
          <w:sz w:val="32"/>
          <w:szCs w:val="32"/>
          <w:highlight w:val="none"/>
          <w:shd w:val="clear" w:fill="FFFFFF"/>
        </w:rPr>
        <w:t>元。</w:t>
      </w:r>
    </w:p>
    <w:p w14:paraId="11B666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both"/>
        <w:rPr>
          <w:rFonts w:hint="eastAsia" w:ascii="黑体" w:hAnsi="黑体" w:eastAsia="黑体" w:cs="黑体"/>
          <w:b w:val="0"/>
          <w:bCs w:val="0"/>
          <w:i w:val="0"/>
          <w:iCs w:val="0"/>
          <w:caps w:val="0"/>
          <w:color w:val="auto"/>
          <w:spacing w:val="0"/>
          <w:sz w:val="32"/>
          <w:szCs w:val="32"/>
          <w:lang w:eastAsia="zh-CN"/>
        </w:rPr>
      </w:pPr>
      <w:r>
        <w:rPr>
          <w:rFonts w:hint="eastAsia" w:ascii="黑体" w:hAnsi="黑体" w:eastAsia="黑体" w:cs="黑体"/>
          <w:b w:val="0"/>
          <w:bCs w:val="0"/>
          <w:i w:val="0"/>
          <w:iCs w:val="0"/>
          <w:caps w:val="0"/>
          <w:color w:val="auto"/>
          <w:spacing w:val="0"/>
          <w:sz w:val="32"/>
          <w:szCs w:val="32"/>
          <w:shd w:val="clear" w:color="auto" w:fill="FFFFFF"/>
        </w:rPr>
        <w:t>三、居民服务、修理和其他服务业</w:t>
      </w:r>
    </w:p>
    <w:p w14:paraId="1125AAD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仿宋" w:hAnsi="仿宋" w:eastAsia="仿宋" w:cs="仿宋"/>
          <w:i w:val="0"/>
          <w:iCs w:val="0"/>
          <w:caps w:val="0"/>
          <w:color w:val="auto"/>
          <w:spacing w:val="0"/>
          <w:sz w:val="32"/>
          <w:szCs w:val="32"/>
        </w:rPr>
      </w:pPr>
      <w:r>
        <w:rPr>
          <w:rFonts w:hint="eastAsia" w:ascii="宋体" w:hAnsi="宋体" w:eastAsia="宋体" w:cs="宋体"/>
          <w:i w:val="0"/>
          <w:iCs w:val="0"/>
          <w:caps w:val="0"/>
          <w:color w:val="auto"/>
          <w:spacing w:val="0"/>
          <w:sz w:val="32"/>
          <w:szCs w:val="32"/>
          <w:shd w:val="clear" w:color="auto" w:fill="FFFFFF"/>
        </w:rPr>
        <w:t>　　</w:t>
      </w:r>
      <w:r>
        <w:rPr>
          <w:rFonts w:hint="eastAsia" w:ascii="楷体_GB2312" w:hAnsi="楷体_GB2312" w:eastAsia="楷体_GB2312" w:cs="楷体_GB2312"/>
          <w:i w:val="0"/>
          <w:iCs w:val="0"/>
          <w:caps w:val="0"/>
          <w:color w:val="auto"/>
          <w:spacing w:val="0"/>
          <w:sz w:val="32"/>
          <w:szCs w:val="32"/>
          <w:shd w:val="clear" w:color="auto" w:fill="FFFFFF"/>
        </w:rPr>
        <w:t>（一）企业法人单位数和从业人员</w:t>
      </w:r>
    </w:p>
    <w:p w14:paraId="5F7C14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 w:hAnsi="仿宋" w:eastAsia="仿宋" w:cs="仿宋"/>
          <w:i w:val="0"/>
          <w:iCs w:val="0"/>
          <w:caps w:val="0"/>
          <w:color w:val="auto"/>
          <w:spacing w:val="0"/>
          <w:sz w:val="32"/>
          <w:szCs w:val="32"/>
          <w:shd w:val="clear" w:color="auto" w:fill="FFFFFF"/>
        </w:rPr>
        <w:t> 　</w:t>
      </w:r>
      <w:r>
        <w:rPr>
          <w:rFonts w:hint="eastAsia" w:ascii="仿宋_GB2312" w:hAnsi="仿宋_GB2312" w:eastAsia="仿宋_GB2312" w:cs="仿宋_GB2312"/>
          <w:i w:val="0"/>
          <w:iCs w:val="0"/>
          <w:caps w:val="0"/>
          <w:color w:val="auto"/>
          <w:spacing w:val="0"/>
          <w:sz w:val="32"/>
          <w:szCs w:val="32"/>
          <w:shd w:val="clear" w:color="auto" w:fill="FFFFFF"/>
        </w:rPr>
        <w:t>　2023年末，</w:t>
      </w:r>
      <w:r>
        <w:rPr>
          <w:rFonts w:hint="eastAsia" w:ascii="仿宋_GB2312" w:hAnsi="仿宋_GB2312" w:eastAsia="仿宋_GB2312" w:cs="仿宋_GB2312"/>
          <w:i w:val="0"/>
          <w:iCs w:val="0"/>
          <w:caps w:val="0"/>
          <w:color w:val="auto"/>
          <w:spacing w:val="0"/>
          <w:sz w:val="32"/>
          <w:szCs w:val="32"/>
          <w:shd w:val="clear" w:color="auto" w:fill="FFFFFF"/>
          <w:lang w:eastAsia="zh-CN"/>
        </w:rPr>
        <w:t>全县</w:t>
      </w:r>
      <w:r>
        <w:rPr>
          <w:rFonts w:hint="eastAsia" w:ascii="仿宋_GB2312" w:hAnsi="仿宋_GB2312" w:eastAsia="仿宋_GB2312" w:cs="仿宋_GB2312"/>
          <w:i w:val="0"/>
          <w:iCs w:val="0"/>
          <w:caps w:val="0"/>
          <w:color w:val="auto"/>
          <w:spacing w:val="0"/>
          <w:sz w:val="32"/>
          <w:szCs w:val="32"/>
          <w:shd w:val="clear" w:color="auto" w:fill="FFFFFF"/>
        </w:rPr>
        <w:t>共有居民服务、修理和其他服务业企业法人单位</w:t>
      </w:r>
      <w:r>
        <w:rPr>
          <w:rFonts w:hint="eastAsia" w:ascii="仿宋_GB2312" w:hAnsi="仿宋_GB2312" w:eastAsia="仿宋_GB2312" w:cs="仿宋_GB2312"/>
          <w:i w:val="0"/>
          <w:iCs w:val="0"/>
          <w:caps w:val="0"/>
          <w:color w:val="auto"/>
          <w:spacing w:val="0"/>
          <w:sz w:val="32"/>
          <w:szCs w:val="32"/>
          <w:shd w:val="clear" w:color="auto" w:fill="FFFFFF"/>
          <w:lang w:val="en-US" w:eastAsia="zh-CN"/>
        </w:rPr>
        <w:t>76</w:t>
      </w:r>
      <w:r>
        <w:rPr>
          <w:rFonts w:hint="eastAsia" w:ascii="仿宋_GB2312" w:hAnsi="仿宋_GB2312" w:eastAsia="仿宋_GB2312" w:cs="仿宋_GB2312"/>
          <w:i w:val="0"/>
          <w:iCs w:val="0"/>
          <w:caps w:val="0"/>
          <w:color w:val="auto"/>
          <w:spacing w:val="0"/>
          <w:sz w:val="32"/>
          <w:szCs w:val="32"/>
          <w:shd w:val="clear" w:color="auto" w:fill="FFFFFF"/>
        </w:rPr>
        <w:t>个，从业人员</w:t>
      </w:r>
      <w:r>
        <w:rPr>
          <w:rFonts w:hint="eastAsia" w:ascii="仿宋_GB2312" w:hAnsi="仿宋_GB2312" w:eastAsia="仿宋_GB2312" w:cs="仿宋_GB2312"/>
          <w:i w:val="0"/>
          <w:iCs w:val="0"/>
          <w:caps w:val="0"/>
          <w:color w:val="auto"/>
          <w:spacing w:val="0"/>
          <w:sz w:val="32"/>
          <w:szCs w:val="32"/>
          <w:shd w:val="clear" w:color="auto" w:fill="FFFFFF"/>
          <w:lang w:val="en-US" w:eastAsia="zh-CN"/>
        </w:rPr>
        <w:t>533</w:t>
      </w:r>
      <w:r>
        <w:rPr>
          <w:rFonts w:hint="eastAsia" w:ascii="仿宋_GB2312" w:hAnsi="仿宋_GB2312" w:eastAsia="仿宋_GB2312" w:cs="仿宋_GB2312"/>
          <w:i w:val="0"/>
          <w:iCs w:val="0"/>
          <w:caps w:val="0"/>
          <w:color w:val="auto"/>
          <w:spacing w:val="0"/>
          <w:sz w:val="32"/>
          <w:szCs w:val="32"/>
          <w:shd w:val="clear" w:color="auto" w:fill="FFFFFF"/>
        </w:rPr>
        <w:t>人，分别比2018年末增长</w:t>
      </w:r>
      <w:r>
        <w:rPr>
          <w:rFonts w:hint="eastAsia" w:ascii="仿宋_GB2312" w:hAnsi="仿宋_GB2312" w:eastAsia="仿宋_GB2312" w:cs="仿宋_GB2312"/>
          <w:i w:val="0"/>
          <w:iCs w:val="0"/>
          <w:caps w:val="0"/>
          <w:color w:val="auto"/>
          <w:spacing w:val="0"/>
          <w:sz w:val="32"/>
          <w:szCs w:val="32"/>
          <w:shd w:val="clear" w:color="auto" w:fill="FFFFFF"/>
          <w:lang w:val="en-US" w:eastAsia="zh-CN"/>
        </w:rPr>
        <w:t>216.7</w:t>
      </w:r>
      <w:r>
        <w:rPr>
          <w:rFonts w:hint="eastAsia" w:ascii="仿宋_GB2312" w:hAnsi="仿宋_GB2312" w:eastAsia="仿宋_GB2312" w:cs="仿宋_GB2312"/>
          <w:i w:val="0"/>
          <w:iCs w:val="0"/>
          <w:caps w:val="0"/>
          <w:color w:val="auto"/>
          <w:spacing w:val="0"/>
          <w:sz w:val="32"/>
          <w:szCs w:val="32"/>
          <w:shd w:val="clear" w:color="auto" w:fill="FFFFFF"/>
        </w:rPr>
        <w:t>%和</w:t>
      </w:r>
      <w:r>
        <w:rPr>
          <w:rFonts w:hint="eastAsia" w:ascii="仿宋_GB2312" w:hAnsi="仿宋_GB2312" w:eastAsia="仿宋_GB2312" w:cs="仿宋_GB2312"/>
          <w:i w:val="0"/>
          <w:iCs w:val="0"/>
          <w:caps w:val="0"/>
          <w:color w:val="auto"/>
          <w:spacing w:val="0"/>
          <w:sz w:val="32"/>
          <w:szCs w:val="32"/>
          <w:shd w:val="clear" w:color="auto" w:fill="FFFFFF"/>
          <w:lang w:eastAsia="zh-CN"/>
        </w:rPr>
        <w:t>下降</w:t>
      </w:r>
      <w:r>
        <w:rPr>
          <w:rFonts w:hint="eastAsia" w:ascii="仿宋_GB2312" w:hAnsi="仿宋_GB2312" w:eastAsia="仿宋_GB2312" w:cs="仿宋_GB2312"/>
          <w:i w:val="0"/>
          <w:iCs w:val="0"/>
          <w:caps w:val="0"/>
          <w:color w:val="auto"/>
          <w:spacing w:val="0"/>
          <w:sz w:val="32"/>
          <w:szCs w:val="32"/>
          <w:shd w:val="clear" w:color="auto" w:fill="FFFFFF"/>
          <w:lang w:val="en-US" w:eastAsia="zh-CN"/>
        </w:rPr>
        <w:t>46.1</w:t>
      </w:r>
      <w:r>
        <w:rPr>
          <w:rFonts w:hint="eastAsia" w:ascii="仿宋_GB2312" w:hAnsi="仿宋_GB2312" w:eastAsia="仿宋_GB2312" w:cs="仿宋_GB2312"/>
          <w:i w:val="0"/>
          <w:iCs w:val="0"/>
          <w:caps w:val="0"/>
          <w:color w:val="auto"/>
          <w:spacing w:val="0"/>
          <w:sz w:val="32"/>
          <w:szCs w:val="32"/>
          <w:shd w:val="clear" w:color="auto" w:fill="FFFFFF"/>
        </w:rPr>
        <w:t>%（详见表5-4）。</w:t>
      </w:r>
    </w:p>
    <w:p w14:paraId="580393F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仿宋" w:hAnsi="仿宋" w:eastAsia="仿宋" w:cs="仿宋"/>
          <w:i w:val="0"/>
          <w:iCs w:val="0"/>
          <w:caps w:val="0"/>
          <w:color w:val="auto"/>
          <w:spacing w:val="0"/>
          <w:sz w:val="32"/>
          <w:szCs w:val="32"/>
          <w:shd w:val="clear" w:color="auto" w:fill="FFFFFF"/>
        </w:rPr>
      </w:pPr>
    </w:p>
    <w:p w14:paraId="3D4083E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仿宋" w:hAnsi="仿宋" w:eastAsia="仿宋" w:cs="仿宋"/>
          <w:i w:val="0"/>
          <w:iCs w:val="0"/>
          <w:caps w:val="0"/>
          <w:color w:val="auto"/>
          <w:spacing w:val="0"/>
          <w:sz w:val="32"/>
          <w:szCs w:val="32"/>
          <w:shd w:val="clear" w:color="auto" w:fill="FFFFFF"/>
        </w:rPr>
      </w:pPr>
    </w:p>
    <w:p w14:paraId="3B706EE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仿宋" w:hAnsi="仿宋" w:eastAsia="仿宋" w:cs="仿宋"/>
          <w:i w:val="0"/>
          <w:iCs w:val="0"/>
          <w:caps w:val="0"/>
          <w:color w:val="auto"/>
          <w:spacing w:val="0"/>
          <w:sz w:val="32"/>
          <w:szCs w:val="32"/>
          <w:shd w:val="clear" w:color="auto" w:fill="FFFFFF"/>
        </w:rPr>
      </w:pPr>
    </w:p>
    <w:p w14:paraId="6B49142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Calibri" w:hAnsi="Calibri" w:cs="Calibri"/>
          <w:i w:val="0"/>
          <w:iCs w:val="0"/>
          <w:caps w:val="0"/>
          <w:color w:val="auto"/>
          <w:spacing w:val="0"/>
          <w:sz w:val="24"/>
          <w:szCs w:val="24"/>
        </w:rPr>
      </w:pPr>
      <w:r>
        <w:rPr>
          <w:rFonts w:hint="default" w:ascii="Times New Roman" w:hAnsi="Times New Roman" w:cs="Times New Roman"/>
          <w:i w:val="0"/>
          <w:iCs w:val="0"/>
          <w:caps w:val="0"/>
          <w:color w:val="auto"/>
          <w:spacing w:val="0"/>
          <w:sz w:val="24"/>
          <w:szCs w:val="24"/>
          <w:shd w:val="clear" w:color="auto" w:fill="FFFFFF"/>
        </w:rPr>
        <w:t> </w:t>
      </w:r>
    </w:p>
    <w:p w14:paraId="78843C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default" w:ascii="Calibri" w:hAnsi="Calibri" w:cs="Calibri"/>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color="auto" w:fill="FFFFFF"/>
        </w:rPr>
        <w:t>表</w:t>
      </w:r>
      <w:r>
        <w:rPr>
          <w:rFonts w:hint="default" w:ascii="Times New Roman" w:hAnsi="Times New Roman" w:cs="Times New Roman"/>
          <w:b/>
          <w:bCs/>
          <w:i w:val="0"/>
          <w:iCs w:val="0"/>
          <w:caps w:val="0"/>
          <w:color w:val="auto"/>
          <w:spacing w:val="0"/>
          <w:sz w:val="24"/>
          <w:szCs w:val="24"/>
          <w:shd w:val="clear" w:color="auto" w:fill="FFFFFF"/>
        </w:rPr>
        <w:t>5-4</w:t>
      </w:r>
      <w:r>
        <w:rPr>
          <w:rFonts w:hint="eastAsia" w:ascii="宋体" w:hAnsi="宋体" w:eastAsia="宋体" w:cs="宋体"/>
          <w:b/>
          <w:bCs/>
          <w:i w:val="0"/>
          <w:iCs w:val="0"/>
          <w:caps w:val="0"/>
          <w:color w:val="auto"/>
          <w:spacing w:val="0"/>
          <w:sz w:val="24"/>
          <w:szCs w:val="24"/>
          <w:shd w:val="clear" w:color="auto" w:fill="FFFFFF"/>
        </w:rPr>
        <w:t>　按行业大类分组的居民服务、修理和其他服务业企业法人单位数和从业人员</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054"/>
        <w:gridCol w:w="2111"/>
        <w:gridCol w:w="2141"/>
      </w:tblGrid>
      <w:tr w14:paraId="24F20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9638" w:type="dxa"/>
            <w:gridSpan w:val="3"/>
            <w:tcBorders>
              <w:top w:val="nil"/>
              <w:left w:val="nil"/>
              <w:bottom w:val="single" w:color="000000" w:sz="12" w:space="0"/>
              <w:right w:val="nil"/>
            </w:tcBorders>
            <w:shd w:val="clear" w:color="auto" w:fill="FFFFFF"/>
            <w:noWrap w:val="0"/>
            <w:vAlign w:val="center"/>
          </w:tcPr>
          <w:p w14:paraId="048A9A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right"/>
              <w:rPr>
                <w:color w:val="auto"/>
              </w:rPr>
            </w:pPr>
          </w:p>
        </w:tc>
      </w:tr>
      <w:tr w14:paraId="15D51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802" w:type="dxa"/>
            <w:tcBorders>
              <w:top w:val="single" w:color="000000" w:sz="12" w:space="0"/>
              <w:left w:val="nil"/>
              <w:bottom w:val="single" w:color="000000" w:sz="6" w:space="0"/>
              <w:right w:val="single" w:color="000000" w:sz="6" w:space="0"/>
            </w:tcBorders>
            <w:shd w:val="clear" w:color="auto" w:fill="FFFFFF"/>
            <w:noWrap w:val="0"/>
            <w:vAlign w:val="center"/>
          </w:tcPr>
          <w:p w14:paraId="4569B6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default" w:ascii="Times New Roman" w:hAnsi="Times New Roman" w:cs="Times New Roman"/>
                <w:i w:val="0"/>
                <w:iCs w:val="0"/>
                <w:caps w:val="0"/>
                <w:color w:val="auto"/>
                <w:spacing w:val="0"/>
                <w:sz w:val="21"/>
                <w:szCs w:val="21"/>
              </w:rPr>
              <w:t> </w:t>
            </w:r>
          </w:p>
        </w:tc>
        <w:tc>
          <w:tcPr>
            <w:tcW w:w="2399" w:type="dxa"/>
            <w:tcBorders>
              <w:top w:val="single" w:color="000000" w:sz="12" w:space="0"/>
              <w:left w:val="single" w:color="000000" w:sz="6" w:space="0"/>
              <w:bottom w:val="single" w:color="000000" w:sz="6" w:space="0"/>
              <w:right w:val="single" w:color="000000" w:sz="6" w:space="0"/>
            </w:tcBorders>
            <w:shd w:val="clear" w:color="auto" w:fill="FFFFFF"/>
            <w:noWrap w:val="0"/>
            <w:vAlign w:val="center"/>
          </w:tcPr>
          <w:p w14:paraId="697EC6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1"/>
                <w:szCs w:val="21"/>
              </w:rPr>
              <w:t>企业法人单位</w:t>
            </w:r>
          </w:p>
          <w:p w14:paraId="3476D8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1"/>
                <w:szCs w:val="21"/>
              </w:rPr>
              <w:t>（个）</w:t>
            </w:r>
          </w:p>
        </w:tc>
        <w:tc>
          <w:tcPr>
            <w:tcW w:w="2406" w:type="dxa"/>
            <w:tcBorders>
              <w:top w:val="single" w:color="000000" w:sz="12" w:space="0"/>
              <w:left w:val="single" w:color="000000" w:sz="6" w:space="0"/>
              <w:bottom w:val="single" w:color="000000" w:sz="6" w:space="0"/>
              <w:right w:val="nil"/>
            </w:tcBorders>
            <w:shd w:val="clear" w:color="auto" w:fill="FFFFFF"/>
            <w:noWrap w:val="0"/>
            <w:vAlign w:val="center"/>
          </w:tcPr>
          <w:p w14:paraId="711718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1"/>
                <w:szCs w:val="21"/>
              </w:rPr>
              <w:t>从业人员</w:t>
            </w:r>
          </w:p>
          <w:p w14:paraId="394F68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1"/>
                <w:szCs w:val="21"/>
              </w:rPr>
              <w:t>（人）</w:t>
            </w:r>
          </w:p>
        </w:tc>
      </w:tr>
      <w:tr w14:paraId="5F2FC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3" w:hRule="atLeast"/>
        </w:trPr>
        <w:tc>
          <w:tcPr>
            <w:tcW w:w="4802" w:type="dxa"/>
            <w:tcBorders>
              <w:top w:val="single" w:color="000000" w:sz="6" w:space="0"/>
              <w:left w:val="nil"/>
              <w:bottom w:val="nil"/>
              <w:right w:val="single" w:color="000000" w:sz="6" w:space="0"/>
            </w:tcBorders>
            <w:shd w:val="clear" w:color="auto" w:fill="FFFFFF"/>
            <w:noWrap w:val="0"/>
            <w:vAlign w:val="center"/>
          </w:tcPr>
          <w:p w14:paraId="5D21754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rPr>
            </w:pPr>
            <w:r>
              <w:rPr>
                <w:rFonts w:hint="eastAsia" w:ascii="宋体" w:hAnsi="宋体" w:eastAsia="宋体" w:cs="宋体"/>
                <w:b/>
                <w:bCs/>
                <w:i w:val="0"/>
                <w:iCs w:val="0"/>
                <w:caps w:val="0"/>
                <w:color w:val="auto"/>
                <w:spacing w:val="0"/>
                <w:sz w:val="21"/>
                <w:szCs w:val="21"/>
              </w:rPr>
              <w:t>合　计</w:t>
            </w:r>
          </w:p>
        </w:tc>
        <w:tc>
          <w:tcPr>
            <w:tcW w:w="2399" w:type="dxa"/>
            <w:tcBorders>
              <w:top w:val="single" w:color="000000" w:sz="6" w:space="0"/>
              <w:left w:val="single" w:color="000000" w:sz="6" w:space="0"/>
              <w:bottom w:val="nil"/>
              <w:right w:val="single" w:color="000000" w:sz="6" w:space="0"/>
            </w:tcBorders>
            <w:shd w:val="clear" w:color="auto" w:fill="FFFFFF"/>
            <w:noWrap w:val="0"/>
            <w:vAlign w:val="center"/>
          </w:tcPr>
          <w:p w14:paraId="0760BE4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b/>
                <w:bCs/>
                <w:i w:val="0"/>
                <w:iCs w:val="0"/>
                <w:caps w:val="0"/>
                <w:color w:val="auto"/>
                <w:spacing w:val="0"/>
                <w:sz w:val="21"/>
                <w:szCs w:val="21"/>
                <w:lang w:val="en-US" w:eastAsia="zh-CN"/>
              </w:rPr>
              <w:t>76</w:t>
            </w:r>
          </w:p>
        </w:tc>
        <w:tc>
          <w:tcPr>
            <w:tcW w:w="2406" w:type="dxa"/>
            <w:tcBorders>
              <w:top w:val="single" w:color="000000" w:sz="6" w:space="0"/>
              <w:left w:val="single" w:color="000000" w:sz="6" w:space="0"/>
              <w:bottom w:val="nil"/>
              <w:right w:val="nil"/>
            </w:tcBorders>
            <w:shd w:val="clear" w:color="auto" w:fill="FFFFFF"/>
            <w:noWrap w:val="0"/>
            <w:vAlign w:val="center"/>
          </w:tcPr>
          <w:p w14:paraId="705804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b/>
                <w:bCs/>
                <w:i w:val="0"/>
                <w:iCs w:val="0"/>
                <w:caps w:val="0"/>
                <w:color w:val="auto"/>
                <w:spacing w:val="0"/>
                <w:sz w:val="21"/>
                <w:szCs w:val="21"/>
                <w:lang w:val="en-US" w:eastAsia="zh-CN"/>
              </w:rPr>
              <w:t>533</w:t>
            </w:r>
          </w:p>
        </w:tc>
      </w:tr>
      <w:tr w14:paraId="5C630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3" w:hRule="atLeast"/>
        </w:trPr>
        <w:tc>
          <w:tcPr>
            <w:tcW w:w="4802" w:type="dxa"/>
            <w:tcBorders>
              <w:top w:val="nil"/>
              <w:left w:val="nil"/>
              <w:bottom w:val="nil"/>
              <w:right w:val="single" w:color="000000" w:sz="6" w:space="0"/>
            </w:tcBorders>
            <w:shd w:val="clear" w:color="auto" w:fill="FFFFFF"/>
            <w:noWrap w:val="0"/>
            <w:vAlign w:val="center"/>
          </w:tcPr>
          <w:p w14:paraId="2BBFBF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rPr>
            </w:pPr>
            <w:r>
              <w:rPr>
                <w:rFonts w:hint="eastAsia" w:ascii="宋体" w:hAnsi="宋体" w:eastAsia="宋体" w:cs="宋体"/>
                <w:i w:val="0"/>
                <w:iCs w:val="0"/>
                <w:caps w:val="0"/>
                <w:color w:val="auto"/>
                <w:spacing w:val="0"/>
                <w:sz w:val="21"/>
                <w:szCs w:val="21"/>
              </w:rPr>
              <w:t>居民服务业</w:t>
            </w:r>
          </w:p>
        </w:tc>
        <w:tc>
          <w:tcPr>
            <w:tcW w:w="2399" w:type="dxa"/>
            <w:tcBorders>
              <w:top w:val="nil"/>
              <w:left w:val="single" w:color="000000" w:sz="6" w:space="0"/>
              <w:bottom w:val="nil"/>
              <w:right w:val="single" w:color="000000" w:sz="6" w:space="0"/>
            </w:tcBorders>
            <w:shd w:val="clear" w:color="auto" w:fill="FFFFFF"/>
            <w:noWrap w:val="0"/>
            <w:vAlign w:val="center"/>
          </w:tcPr>
          <w:p w14:paraId="35735A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i w:val="0"/>
                <w:iCs w:val="0"/>
                <w:caps w:val="0"/>
                <w:color w:val="auto"/>
                <w:spacing w:val="0"/>
                <w:sz w:val="21"/>
                <w:szCs w:val="21"/>
                <w:lang w:val="en-US" w:eastAsia="zh-CN"/>
              </w:rPr>
              <w:t>33</w:t>
            </w:r>
          </w:p>
        </w:tc>
        <w:tc>
          <w:tcPr>
            <w:tcW w:w="2406" w:type="dxa"/>
            <w:tcBorders>
              <w:top w:val="nil"/>
              <w:left w:val="single" w:color="000000" w:sz="6" w:space="0"/>
              <w:bottom w:val="nil"/>
              <w:right w:val="nil"/>
            </w:tcBorders>
            <w:shd w:val="clear" w:color="auto" w:fill="FFFFFF"/>
            <w:noWrap w:val="0"/>
            <w:vAlign w:val="center"/>
          </w:tcPr>
          <w:p w14:paraId="47B7D4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i w:val="0"/>
                <w:iCs w:val="0"/>
                <w:caps w:val="0"/>
                <w:color w:val="auto"/>
                <w:spacing w:val="0"/>
                <w:sz w:val="21"/>
                <w:szCs w:val="21"/>
                <w:lang w:val="en-US" w:eastAsia="zh-CN"/>
              </w:rPr>
              <w:t>315</w:t>
            </w:r>
          </w:p>
        </w:tc>
      </w:tr>
      <w:tr w14:paraId="7592D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3" w:hRule="atLeast"/>
        </w:trPr>
        <w:tc>
          <w:tcPr>
            <w:tcW w:w="4802" w:type="dxa"/>
            <w:tcBorders>
              <w:top w:val="nil"/>
              <w:left w:val="nil"/>
              <w:bottom w:val="nil"/>
              <w:right w:val="single" w:color="000000" w:sz="6" w:space="0"/>
            </w:tcBorders>
            <w:shd w:val="clear" w:color="auto" w:fill="FFFFFF"/>
            <w:noWrap w:val="0"/>
            <w:vAlign w:val="center"/>
          </w:tcPr>
          <w:p w14:paraId="1D8028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rPr>
            </w:pPr>
            <w:r>
              <w:rPr>
                <w:rFonts w:hint="eastAsia" w:ascii="宋体" w:hAnsi="宋体" w:eastAsia="宋体" w:cs="宋体"/>
                <w:i w:val="0"/>
                <w:iCs w:val="0"/>
                <w:caps w:val="0"/>
                <w:color w:val="auto"/>
                <w:spacing w:val="0"/>
                <w:sz w:val="21"/>
                <w:szCs w:val="21"/>
              </w:rPr>
              <w:t>机动车、电子产品和日用产品修理业</w:t>
            </w:r>
          </w:p>
        </w:tc>
        <w:tc>
          <w:tcPr>
            <w:tcW w:w="2399" w:type="dxa"/>
            <w:tcBorders>
              <w:top w:val="nil"/>
              <w:left w:val="single" w:color="000000" w:sz="6" w:space="0"/>
              <w:bottom w:val="nil"/>
              <w:right w:val="single" w:color="000000" w:sz="6" w:space="0"/>
            </w:tcBorders>
            <w:shd w:val="clear" w:color="auto" w:fill="FFFFFF"/>
            <w:noWrap w:val="0"/>
            <w:vAlign w:val="center"/>
          </w:tcPr>
          <w:p w14:paraId="51CDD58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i w:val="0"/>
                <w:iCs w:val="0"/>
                <w:caps w:val="0"/>
                <w:color w:val="auto"/>
                <w:spacing w:val="0"/>
                <w:sz w:val="21"/>
                <w:szCs w:val="21"/>
                <w:lang w:val="en-US" w:eastAsia="zh-CN"/>
              </w:rPr>
              <w:t>32</w:t>
            </w:r>
          </w:p>
        </w:tc>
        <w:tc>
          <w:tcPr>
            <w:tcW w:w="2406" w:type="dxa"/>
            <w:tcBorders>
              <w:top w:val="nil"/>
              <w:left w:val="single" w:color="000000" w:sz="6" w:space="0"/>
              <w:bottom w:val="nil"/>
              <w:right w:val="nil"/>
            </w:tcBorders>
            <w:shd w:val="clear" w:color="auto" w:fill="FFFFFF"/>
            <w:noWrap w:val="0"/>
            <w:vAlign w:val="center"/>
          </w:tcPr>
          <w:p w14:paraId="0731BF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i w:val="0"/>
                <w:iCs w:val="0"/>
                <w:caps w:val="0"/>
                <w:color w:val="auto"/>
                <w:spacing w:val="0"/>
                <w:sz w:val="21"/>
                <w:szCs w:val="21"/>
                <w:lang w:val="en-US" w:eastAsia="zh-CN"/>
              </w:rPr>
              <w:t>155</w:t>
            </w:r>
          </w:p>
        </w:tc>
      </w:tr>
      <w:tr w14:paraId="057F0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3" w:hRule="atLeast"/>
        </w:trPr>
        <w:tc>
          <w:tcPr>
            <w:tcW w:w="4802" w:type="dxa"/>
            <w:tcBorders>
              <w:top w:val="nil"/>
              <w:left w:val="nil"/>
              <w:bottom w:val="single" w:color="000000" w:sz="12" w:space="0"/>
              <w:right w:val="single" w:color="000000" w:sz="6" w:space="0"/>
            </w:tcBorders>
            <w:shd w:val="clear" w:color="auto" w:fill="FFFFFF"/>
            <w:noWrap w:val="0"/>
            <w:vAlign w:val="center"/>
          </w:tcPr>
          <w:p w14:paraId="486500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rPr>
            </w:pPr>
            <w:r>
              <w:rPr>
                <w:rFonts w:hint="eastAsia" w:ascii="宋体" w:hAnsi="宋体" w:eastAsia="宋体" w:cs="宋体"/>
                <w:i w:val="0"/>
                <w:iCs w:val="0"/>
                <w:caps w:val="0"/>
                <w:color w:val="auto"/>
                <w:spacing w:val="0"/>
                <w:sz w:val="21"/>
                <w:szCs w:val="21"/>
              </w:rPr>
              <w:t>其他服务业</w:t>
            </w:r>
          </w:p>
        </w:tc>
        <w:tc>
          <w:tcPr>
            <w:tcW w:w="2399" w:type="dxa"/>
            <w:tcBorders>
              <w:top w:val="nil"/>
              <w:left w:val="single" w:color="000000" w:sz="6" w:space="0"/>
              <w:bottom w:val="single" w:color="000000" w:sz="12" w:space="0"/>
              <w:right w:val="single" w:color="000000" w:sz="6" w:space="0"/>
            </w:tcBorders>
            <w:shd w:val="clear" w:color="auto" w:fill="FFFFFF"/>
            <w:noWrap w:val="0"/>
            <w:vAlign w:val="center"/>
          </w:tcPr>
          <w:p w14:paraId="7201BB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i w:val="0"/>
                <w:iCs w:val="0"/>
                <w:caps w:val="0"/>
                <w:color w:val="auto"/>
                <w:spacing w:val="0"/>
                <w:sz w:val="21"/>
                <w:szCs w:val="21"/>
                <w:lang w:val="en-US" w:eastAsia="zh-CN"/>
              </w:rPr>
              <w:t>11</w:t>
            </w:r>
          </w:p>
        </w:tc>
        <w:tc>
          <w:tcPr>
            <w:tcW w:w="2406" w:type="dxa"/>
            <w:tcBorders>
              <w:top w:val="nil"/>
              <w:left w:val="single" w:color="000000" w:sz="6" w:space="0"/>
              <w:bottom w:val="single" w:color="000000" w:sz="12" w:space="0"/>
              <w:right w:val="nil"/>
            </w:tcBorders>
            <w:shd w:val="clear" w:color="auto" w:fill="FFFFFF"/>
            <w:noWrap w:val="0"/>
            <w:vAlign w:val="center"/>
          </w:tcPr>
          <w:p w14:paraId="2A186B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i w:val="0"/>
                <w:iCs w:val="0"/>
                <w:caps w:val="0"/>
                <w:color w:val="auto"/>
                <w:spacing w:val="0"/>
                <w:sz w:val="21"/>
                <w:szCs w:val="21"/>
                <w:lang w:val="en-US" w:eastAsia="zh-CN"/>
              </w:rPr>
              <w:t>63</w:t>
            </w:r>
          </w:p>
        </w:tc>
      </w:tr>
    </w:tbl>
    <w:p w14:paraId="369C8AD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Calibri" w:hAnsi="Calibri" w:cs="Calibri"/>
          <w:i w:val="0"/>
          <w:iCs w:val="0"/>
          <w:caps w:val="0"/>
          <w:color w:val="auto"/>
          <w:spacing w:val="0"/>
          <w:sz w:val="24"/>
          <w:szCs w:val="24"/>
        </w:rPr>
      </w:pPr>
      <w:r>
        <w:rPr>
          <w:rFonts w:hint="default" w:ascii="Times New Roman" w:hAnsi="Times New Roman" w:cs="Times New Roman"/>
          <w:i w:val="0"/>
          <w:iCs w:val="0"/>
          <w:caps w:val="0"/>
          <w:color w:val="auto"/>
          <w:spacing w:val="0"/>
          <w:sz w:val="24"/>
          <w:szCs w:val="24"/>
          <w:shd w:val="clear" w:color="auto" w:fill="FFFFFF"/>
        </w:rPr>
        <w:t> </w:t>
      </w:r>
    </w:p>
    <w:p w14:paraId="1B93A0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32"/>
          <w:szCs w:val="32"/>
          <w:highlight w:val="none"/>
        </w:rPr>
      </w:pPr>
      <w:r>
        <w:rPr>
          <w:rFonts w:hint="eastAsia" w:ascii="宋体" w:hAnsi="宋体" w:eastAsia="宋体" w:cs="宋体"/>
          <w:i w:val="0"/>
          <w:iCs w:val="0"/>
          <w:caps w:val="0"/>
          <w:color w:val="auto"/>
          <w:spacing w:val="0"/>
          <w:sz w:val="24"/>
          <w:szCs w:val="24"/>
          <w:shd w:val="clear" w:color="auto" w:fill="FFFFFF"/>
        </w:rPr>
        <w:t>　</w:t>
      </w:r>
      <w:r>
        <w:rPr>
          <w:rFonts w:hint="eastAsia" w:ascii="仿宋_GB2312" w:hAnsi="仿宋_GB2312" w:eastAsia="仿宋_GB2312" w:cs="仿宋_GB2312"/>
          <w:i w:val="0"/>
          <w:iCs w:val="0"/>
          <w:caps w:val="0"/>
          <w:color w:val="auto"/>
          <w:spacing w:val="0"/>
          <w:sz w:val="24"/>
          <w:szCs w:val="24"/>
          <w:highlight w:val="none"/>
          <w:shd w:val="clear" w:color="auto" w:fill="FFFFFF"/>
        </w:rPr>
        <w:t>　</w:t>
      </w:r>
      <w:r>
        <w:rPr>
          <w:rFonts w:hint="eastAsia" w:ascii="仿宋_GB2312" w:hAnsi="仿宋_GB2312" w:eastAsia="仿宋_GB2312" w:cs="仿宋_GB2312"/>
          <w:i w:val="0"/>
          <w:iCs w:val="0"/>
          <w:caps w:val="0"/>
          <w:color w:val="auto"/>
          <w:spacing w:val="0"/>
          <w:sz w:val="32"/>
          <w:szCs w:val="32"/>
          <w:highlight w:val="none"/>
          <w:shd w:val="clear" w:color="auto" w:fill="FFFFFF"/>
        </w:rPr>
        <w:t>在居民服务、修理和其他服务业企业法人单位中，内资企业占</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98.7</w:t>
      </w:r>
      <w:r>
        <w:rPr>
          <w:rFonts w:hint="eastAsia" w:ascii="仿宋_GB2312" w:hAnsi="仿宋_GB2312" w:eastAsia="仿宋_GB2312" w:cs="仿宋_GB2312"/>
          <w:i w:val="0"/>
          <w:iCs w:val="0"/>
          <w:caps w:val="0"/>
          <w:color w:val="auto"/>
          <w:spacing w:val="0"/>
          <w:sz w:val="32"/>
          <w:szCs w:val="32"/>
          <w:highlight w:val="none"/>
          <w:shd w:val="clear" w:color="auto" w:fill="FFFFFF"/>
        </w:rPr>
        <w:t>%，</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其他统计类别</w:t>
      </w:r>
      <w:r>
        <w:rPr>
          <w:rFonts w:hint="eastAsia" w:ascii="仿宋_GB2312" w:hAnsi="仿宋_GB2312" w:eastAsia="仿宋_GB2312" w:cs="仿宋_GB2312"/>
          <w:i w:val="0"/>
          <w:iCs w:val="0"/>
          <w:caps w:val="0"/>
          <w:color w:val="auto"/>
          <w:spacing w:val="0"/>
          <w:sz w:val="32"/>
          <w:szCs w:val="32"/>
          <w:highlight w:val="none"/>
          <w:shd w:val="clear" w:color="auto" w:fill="FFFFFF"/>
        </w:rPr>
        <w:t>占</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1.3</w:t>
      </w:r>
      <w:r>
        <w:rPr>
          <w:rFonts w:hint="eastAsia" w:ascii="仿宋_GB2312" w:hAnsi="仿宋_GB2312" w:eastAsia="仿宋_GB2312" w:cs="仿宋_GB2312"/>
          <w:i w:val="0"/>
          <w:iCs w:val="0"/>
          <w:caps w:val="0"/>
          <w:color w:val="auto"/>
          <w:spacing w:val="0"/>
          <w:sz w:val="32"/>
          <w:szCs w:val="32"/>
          <w:highlight w:val="none"/>
          <w:shd w:val="clear" w:color="auto" w:fill="FFFFFF"/>
        </w:rPr>
        <w:t>%。</w:t>
      </w:r>
    </w:p>
    <w:p w14:paraId="11162B5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both"/>
        <w:rPr>
          <w:rFonts w:hint="eastAsia" w:ascii="宋体" w:hAnsi="宋体" w:eastAsia="宋体" w:cs="宋体"/>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在居民服务、修理和其他服务业企业法人单位从业人员中，内资企业占</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99.1</w:t>
      </w:r>
      <w:r>
        <w:rPr>
          <w:rFonts w:hint="eastAsia" w:ascii="仿宋_GB2312" w:hAnsi="仿宋_GB2312" w:eastAsia="仿宋_GB2312" w:cs="仿宋_GB2312"/>
          <w:i w:val="0"/>
          <w:iCs w:val="0"/>
          <w:caps w:val="0"/>
          <w:color w:val="auto"/>
          <w:spacing w:val="0"/>
          <w:sz w:val="32"/>
          <w:szCs w:val="32"/>
          <w:highlight w:val="none"/>
          <w:shd w:val="clear" w:color="auto" w:fill="FFFFFF"/>
        </w:rPr>
        <w:t>%，</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其他统计类别</w:t>
      </w:r>
      <w:r>
        <w:rPr>
          <w:rFonts w:hint="eastAsia" w:ascii="仿宋_GB2312" w:hAnsi="仿宋_GB2312" w:eastAsia="仿宋_GB2312" w:cs="仿宋_GB2312"/>
          <w:i w:val="0"/>
          <w:iCs w:val="0"/>
          <w:caps w:val="0"/>
          <w:color w:val="auto"/>
          <w:spacing w:val="0"/>
          <w:sz w:val="32"/>
          <w:szCs w:val="32"/>
          <w:highlight w:val="none"/>
          <w:shd w:val="clear" w:color="auto" w:fill="FFFFFF"/>
        </w:rPr>
        <w:t>占0.</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9</w:t>
      </w:r>
      <w:r>
        <w:rPr>
          <w:rFonts w:hint="eastAsia" w:ascii="仿宋_GB2312" w:hAnsi="仿宋_GB2312" w:eastAsia="仿宋_GB2312" w:cs="仿宋_GB2312"/>
          <w:i w:val="0"/>
          <w:iCs w:val="0"/>
          <w:caps w:val="0"/>
          <w:color w:val="auto"/>
          <w:spacing w:val="0"/>
          <w:sz w:val="32"/>
          <w:szCs w:val="32"/>
          <w:highlight w:val="none"/>
          <w:shd w:val="clear" w:color="auto" w:fill="FFFFFF"/>
        </w:rPr>
        <w:t>%（详见表5-5）。</w:t>
      </w:r>
      <w:r>
        <w:rPr>
          <w:rFonts w:hint="eastAsia" w:ascii="宋体" w:hAnsi="宋体" w:eastAsia="宋体" w:cs="宋体"/>
          <w:i w:val="0"/>
          <w:iCs w:val="0"/>
          <w:caps w:val="0"/>
          <w:color w:val="auto"/>
          <w:spacing w:val="0"/>
          <w:sz w:val="32"/>
          <w:szCs w:val="32"/>
          <w:highlight w:val="none"/>
          <w:shd w:val="clear" w:color="auto" w:fill="FFFFFF"/>
        </w:rPr>
        <w:t> </w:t>
      </w:r>
    </w:p>
    <w:p w14:paraId="0B0A96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default" w:ascii="Calibri" w:hAnsi="Calibri" w:cs="Calibri"/>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shd w:val="clear" w:color="auto" w:fill="FFFFFF"/>
        </w:rPr>
        <w:t>表</w:t>
      </w:r>
      <w:r>
        <w:rPr>
          <w:rFonts w:hint="default" w:ascii="Times New Roman" w:hAnsi="Times New Roman" w:cs="Times New Roman"/>
          <w:b/>
          <w:bCs/>
          <w:i w:val="0"/>
          <w:iCs w:val="0"/>
          <w:caps w:val="0"/>
          <w:color w:val="auto"/>
          <w:spacing w:val="0"/>
          <w:sz w:val="24"/>
          <w:szCs w:val="24"/>
          <w:highlight w:val="none"/>
          <w:shd w:val="clear" w:color="auto" w:fill="FFFFFF"/>
        </w:rPr>
        <w:t>5-5</w:t>
      </w:r>
      <w:r>
        <w:rPr>
          <w:rFonts w:hint="eastAsia" w:ascii="宋体" w:hAnsi="宋体" w:eastAsia="宋体" w:cs="宋体"/>
          <w:b/>
          <w:bCs/>
          <w:i w:val="0"/>
          <w:iCs w:val="0"/>
          <w:caps w:val="0"/>
          <w:color w:val="auto"/>
          <w:spacing w:val="0"/>
          <w:sz w:val="24"/>
          <w:szCs w:val="24"/>
          <w:highlight w:val="none"/>
          <w:shd w:val="clear" w:color="auto" w:fill="FFFFFF"/>
        </w:rPr>
        <w:t>　按登记注册统计类别分组的居民服务、修理和其他服务业</w:t>
      </w:r>
    </w:p>
    <w:p w14:paraId="569204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default" w:ascii="Calibri" w:hAnsi="Calibri" w:cs="Calibri"/>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shd w:val="clear" w:color="auto" w:fill="FFFFFF"/>
        </w:rPr>
        <w:t>企业法人单位数和从业人员</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154"/>
        <w:gridCol w:w="2561"/>
        <w:gridCol w:w="2591"/>
      </w:tblGrid>
      <w:tr w14:paraId="69816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3" w:hRule="atLeast"/>
        </w:trPr>
        <w:tc>
          <w:tcPr>
            <w:tcW w:w="9638" w:type="dxa"/>
            <w:gridSpan w:val="3"/>
            <w:tcBorders>
              <w:top w:val="nil"/>
              <w:left w:val="nil"/>
              <w:bottom w:val="single" w:color="000000" w:sz="12" w:space="0"/>
              <w:right w:val="nil"/>
            </w:tcBorders>
            <w:shd w:val="clear" w:color="auto" w:fill="FFFFFF"/>
            <w:noWrap w:val="0"/>
            <w:vAlign w:val="center"/>
          </w:tcPr>
          <w:p w14:paraId="513BE78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right"/>
              <w:rPr>
                <w:color w:val="auto"/>
                <w:highlight w:val="none"/>
              </w:rPr>
            </w:pPr>
            <w:r>
              <w:rPr>
                <w:rFonts w:hint="default" w:ascii="Times New Roman" w:hAnsi="Times New Roman" w:cs="Times New Roman"/>
                <w:i w:val="0"/>
                <w:iCs w:val="0"/>
                <w:caps w:val="0"/>
                <w:color w:val="auto"/>
                <w:spacing w:val="0"/>
                <w:sz w:val="21"/>
                <w:szCs w:val="21"/>
                <w:highlight w:val="none"/>
              </w:rPr>
              <w:t> </w:t>
            </w:r>
          </w:p>
        </w:tc>
      </w:tr>
      <w:tr w14:paraId="45477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3736" w:type="dxa"/>
            <w:tcBorders>
              <w:top w:val="single" w:color="000000" w:sz="12" w:space="0"/>
              <w:left w:val="nil"/>
              <w:bottom w:val="single" w:color="000000" w:sz="6" w:space="0"/>
              <w:right w:val="single" w:color="000000" w:sz="6" w:space="0"/>
            </w:tcBorders>
            <w:shd w:val="clear" w:color="auto" w:fill="FFFFFF"/>
            <w:noWrap w:val="0"/>
            <w:vAlign w:val="center"/>
          </w:tcPr>
          <w:p w14:paraId="6B5F24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highlight w:val="none"/>
              </w:rPr>
            </w:pPr>
            <w:r>
              <w:rPr>
                <w:rFonts w:hint="default" w:ascii="Times New Roman" w:hAnsi="Times New Roman" w:cs="Times New Roman"/>
                <w:i w:val="0"/>
                <w:iCs w:val="0"/>
                <w:caps w:val="0"/>
                <w:color w:val="auto"/>
                <w:spacing w:val="0"/>
                <w:sz w:val="21"/>
                <w:szCs w:val="21"/>
                <w:highlight w:val="none"/>
              </w:rPr>
              <w:t> </w:t>
            </w:r>
          </w:p>
        </w:tc>
        <w:tc>
          <w:tcPr>
            <w:tcW w:w="2932" w:type="dxa"/>
            <w:tcBorders>
              <w:top w:val="single" w:color="000000" w:sz="12" w:space="0"/>
              <w:left w:val="single" w:color="000000" w:sz="6" w:space="0"/>
              <w:bottom w:val="single" w:color="000000" w:sz="6" w:space="0"/>
              <w:right w:val="single" w:color="000000" w:sz="6" w:space="0"/>
            </w:tcBorders>
            <w:shd w:val="clear" w:color="auto" w:fill="FFFFFF"/>
            <w:noWrap w:val="0"/>
            <w:vAlign w:val="center"/>
          </w:tcPr>
          <w:p w14:paraId="7CB6B79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highlight w:val="none"/>
              </w:rPr>
            </w:pPr>
            <w:r>
              <w:rPr>
                <w:rFonts w:hint="eastAsia" w:ascii="宋体" w:hAnsi="宋体" w:eastAsia="宋体" w:cs="宋体"/>
                <w:i w:val="0"/>
                <w:iCs w:val="0"/>
                <w:caps w:val="0"/>
                <w:color w:val="auto"/>
                <w:spacing w:val="0"/>
                <w:sz w:val="21"/>
                <w:szCs w:val="21"/>
                <w:highlight w:val="none"/>
              </w:rPr>
              <w:t>企业法人单位</w:t>
            </w:r>
          </w:p>
          <w:p w14:paraId="279ABF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highlight w:val="none"/>
              </w:rPr>
            </w:pPr>
            <w:r>
              <w:rPr>
                <w:rFonts w:hint="eastAsia" w:ascii="宋体" w:hAnsi="宋体" w:eastAsia="宋体" w:cs="宋体"/>
                <w:i w:val="0"/>
                <w:iCs w:val="0"/>
                <w:caps w:val="0"/>
                <w:color w:val="auto"/>
                <w:spacing w:val="0"/>
                <w:sz w:val="21"/>
                <w:szCs w:val="21"/>
                <w:highlight w:val="none"/>
              </w:rPr>
              <w:t>（个）</w:t>
            </w:r>
          </w:p>
        </w:tc>
        <w:tc>
          <w:tcPr>
            <w:tcW w:w="2940" w:type="dxa"/>
            <w:tcBorders>
              <w:top w:val="single" w:color="000000" w:sz="12" w:space="0"/>
              <w:left w:val="single" w:color="000000" w:sz="6" w:space="0"/>
              <w:bottom w:val="single" w:color="000000" w:sz="6" w:space="0"/>
              <w:right w:val="nil"/>
            </w:tcBorders>
            <w:shd w:val="clear" w:color="auto" w:fill="FFFFFF"/>
            <w:noWrap w:val="0"/>
            <w:vAlign w:val="center"/>
          </w:tcPr>
          <w:p w14:paraId="56C210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highlight w:val="none"/>
              </w:rPr>
            </w:pPr>
            <w:r>
              <w:rPr>
                <w:rFonts w:hint="eastAsia" w:ascii="宋体" w:hAnsi="宋体" w:eastAsia="宋体" w:cs="宋体"/>
                <w:i w:val="0"/>
                <w:iCs w:val="0"/>
                <w:caps w:val="0"/>
                <w:color w:val="auto"/>
                <w:spacing w:val="0"/>
                <w:sz w:val="21"/>
                <w:szCs w:val="21"/>
                <w:highlight w:val="none"/>
              </w:rPr>
              <w:t>从业人员</w:t>
            </w:r>
          </w:p>
          <w:p w14:paraId="7A9B056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highlight w:val="none"/>
              </w:rPr>
            </w:pPr>
            <w:r>
              <w:rPr>
                <w:rFonts w:hint="eastAsia" w:ascii="宋体" w:hAnsi="宋体" w:eastAsia="宋体" w:cs="宋体"/>
                <w:i w:val="0"/>
                <w:iCs w:val="0"/>
                <w:caps w:val="0"/>
                <w:color w:val="auto"/>
                <w:spacing w:val="0"/>
                <w:sz w:val="21"/>
                <w:szCs w:val="21"/>
                <w:highlight w:val="none"/>
              </w:rPr>
              <w:t>（人）</w:t>
            </w:r>
          </w:p>
        </w:tc>
      </w:tr>
      <w:tr w14:paraId="7988E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3" w:hRule="atLeast"/>
        </w:trPr>
        <w:tc>
          <w:tcPr>
            <w:tcW w:w="3736" w:type="dxa"/>
            <w:tcBorders>
              <w:top w:val="single" w:color="000000" w:sz="6" w:space="0"/>
              <w:left w:val="nil"/>
              <w:bottom w:val="nil"/>
              <w:right w:val="single" w:color="000000" w:sz="6" w:space="0"/>
            </w:tcBorders>
            <w:shd w:val="clear" w:color="auto" w:fill="FFFFFF"/>
            <w:noWrap w:val="0"/>
            <w:vAlign w:val="center"/>
          </w:tcPr>
          <w:p w14:paraId="0C8B56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highlight w:val="none"/>
              </w:rPr>
            </w:pPr>
            <w:r>
              <w:rPr>
                <w:rFonts w:hint="eastAsia" w:ascii="宋体" w:hAnsi="宋体" w:eastAsia="宋体" w:cs="宋体"/>
                <w:b/>
                <w:bCs/>
                <w:i w:val="0"/>
                <w:iCs w:val="0"/>
                <w:caps w:val="0"/>
                <w:color w:val="auto"/>
                <w:spacing w:val="0"/>
                <w:sz w:val="21"/>
                <w:szCs w:val="21"/>
                <w:highlight w:val="none"/>
              </w:rPr>
              <w:t>合　计</w:t>
            </w:r>
          </w:p>
        </w:tc>
        <w:tc>
          <w:tcPr>
            <w:tcW w:w="2932" w:type="dxa"/>
            <w:tcBorders>
              <w:top w:val="single" w:color="000000" w:sz="6" w:space="0"/>
              <w:left w:val="single" w:color="000000" w:sz="6" w:space="0"/>
              <w:bottom w:val="nil"/>
              <w:right w:val="single" w:color="000000" w:sz="6" w:space="0"/>
            </w:tcBorders>
            <w:shd w:val="clear" w:color="auto" w:fill="FFFFFF"/>
            <w:noWrap w:val="0"/>
            <w:vAlign w:val="center"/>
          </w:tcPr>
          <w:p w14:paraId="37BD6FC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highlight w:val="none"/>
                <w:lang w:val="en-US" w:eastAsia="zh-CN"/>
              </w:rPr>
            </w:pPr>
            <w:r>
              <w:rPr>
                <w:rFonts w:hint="eastAsia" w:ascii="Times New Roman" w:hAnsi="Times New Roman" w:cs="Times New Roman"/>
                <w:b/>
                <w:bCs/>
                <w:i w:val="0"/>
                <w:iCs w:val="0"/>
                <w:caps w:val="0"/>
                <w:color w:val="auto"/>
                <w:spacing w:val="0"/>
                <w:sz w:val="21"/>
                <w:szCs w:val="21"/>
                <w:highlight w:val="none"/>
                <w:lang w:val="en-US" w:eastAsia="zh-CN"/>
              </w:rPr>
              <w:t>76</w:t>
            </w:r>
          </w:p>
        </w:tc>
        <w:tc>
          <w:tcPr>
            <w:tcW w:w="2940" w:type="dxa"/>
            <w:tcBorders>
              <w:top w:val="single" w:color="000000" w:sz="6" w:space="0"/>
              <w:left w:val="single" w:color="000000" w:sz="6" w:space="0"/>
              <w:bottom w:val="nil"/>
              <w:right w:val="nil"/>
            </w:tcBorders>
            <w:shd w:val="clear" w:color="auto" w:fill="FFFFFF"/>
            <w:noWrap w:val="0"/>
            <w:vAlign w:val="center"/>
          </w:tcPr>
          <w:p w14:paraId="440E17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highlight w:val="none"/>
                <w:lang w:val="en-US" w:eastAsia="zh-CN"/>
              </w:rPr>
            </w:pPr>
            <w:r>
              <w:rPr>
                <w:rFonts w:hint="eastAsia" w:ascii="Times New Roman" w:hAnsi="Times New Roman" w:cs="Times New Roman"/>
                <w:b/>
                <w:bCs/>
                <w:i w:val="0"/>
                <w:iCs w:val="0"/>
                <w:caps w:val="0"/>
                <w:color w:val="auto"/>
                <w:spacing w:val="0"/>
                <w:sz w:val="21"/>
                <w:szCs w:val="21"/>
                <w:highlight w:val="none"/>
                <w:lang w:val="en-US" w:eastAsia="zh-CN"/>
              </w:rPr>
              <w:t>533</w:t>
            </w:r>
          </w:p>
        </w:tc>
      </w:tr>
      <w:tr w14:paraId="4E855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3" w:hRule="atLeast"/>
        </w:trPr>
        <w:tc>
          <w:tcPr>
            <w:tcW w:w="3736" w:type="dxa"/>
            <w:tcBorders>
              <w:top w:val="nil"/>
              <w:left w:val="nil"/>
              <w:bottom w:val="nil"/>
              <w:right w:val="single" w:color="000000" w:sz="6" w:space="0"/>
            </w:tcBorders>
            <w:shd w:val="clear" w:color="auto" w:fill="FFFFFF"/>
            <w:noWrap w:val="0"/>
            <w:vAlign w:val="center"/>
          </w:tcPr>
          <w:p w14:paraId="0276E3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highlight w:val="none"/>
              </w:rPr>
            </w:pPr>
            <w:r>
              <w:rPr>
                <w:rFonts w:hint="eastAsia" w:ascii="宋体" w:hAnsi="宋体" w:eastAsia="宋体" w:cs="宋体"/>
                <w:i w:val="0"/>
                <w:iCs w:val="0"/>
                <w:caps w:val="0"/>
                <w:color w:val="auto"/>
                <w:spacing w:val="0"/>
                <w:sz w:val="21"/>
                <w:szCs w:val="21"/>
                <w:highlight w:val="none"/>
              </w:rPr>
              <w:t>内资企业</w:t>
            </w:r>
          </w:p>
        </w:tc>
        <w:tc>
          <w:tcPr>
            <w:tcW w:w="2932" w:type="dxa"/>
            <w:tcBorders>
              <w:top w:val="nil"/>
              <w:left w:val="single" w:color="000000" w:sz="6" w:space="0"/>
              <w:bottom w:val="nil"/>
              <w:right w:val="single" w:color="000000" w:sz="6" w:space="0"/>
            </w:tcBorders>
            <w:shd w:val="clear" w:color="auto" w:fill="FFFFFF"/>
            <w:noWrap w:val="0"/>
            <w:vAlign w:val="center"/>
          </w:tcPr>
          <w:p w14:paraId="5B529EB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highlight w:val="none"/>
                <w:lang w:val="en-US" w:eastAsia="zh-CN"/>
              </w:rPr>
            </w:pPr>
            <w:r>
              <w:rPr>
                <w:rFonts w:hint="eastAsia" w:ascii="Times New Roman" w:hAnsi="Times New Roman" w:cs="Times New Roman"/>
                <w:i w:val="0"/>
                <w:iCs w:val="0"/>
                <w:caps w:val="0"/>
                <w:color w:val="auto"/>
                <w:spacing w:val="0"/>
                <w:sz w:val="21"/>
                <w:szCs w:val="21"/>
                <w:highlight w:val="none"/>
                <w:lang w:val="en-US" w:eastAsia="zh-CN"/>
              </w:rPr>
              <w:t>75</w:t>
            </w:r>
          </w:p>
        </w:tc>
        <w:tc>
          <w:tcPr>
            <w:tcW w:w="2940" w:type="dxa"/>
            <w:tcBorders>
              <w:top w:val="nil"/>
              <w:left w:val="single" w:color="000000" w:sz="6" w:space="0"/>
              <w:bottom w:val="nil"/>
              <w:right w:val="nil"/>
            </w:tcBorders>
            <w:shd w:val="clear" w:color="auto" w:fill="FFFFFF"/>
            <w:noWrap w:val="0"/>
            <w:vAlign w:val="center"/>
          </w:tcPr>
          <w:p w14:paraId="6F2C0A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highlight w:val="none"/>
                <w:lang w:val="en-US" w:eastAsia="zh-CN"/>
              </w:rPr>
            </w:pPr>
            <w:r>
              <w:rPr>
                <w:rFonts w:hint="eastAsia" w:ascii="Times New Roman" w:hAnsi="Times New Roman" w:cs="Times New Roman"/>
                <w:i w:val="0"/>
                <w:iCs w:val="0"/>
                <w:caps w:val="0"/>
                <w:color w:val="auto"/>
                <w:spacing w:val="0"/>
                <w:sz w:val="21"/>
                <w:szCs w:val="21"/>
                <w:highlight w:val="none"/>
                <w:lang w:val="en-US" w:eastAsia="zh-CN"/>
              </w:rPr>
              <w:t>528</w:t>
            </w:r>
          </w:p>
        </w:tc>
      </w:tr>
      <w:tr w14:paraId="59AFE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3" w:hRule="atLeast"/>
        </w:trPr>
        <w:tc>
          <w:tcPr>
            <w:tcW w:w="3736" w:type="dxa"/>
            <w:tcBorders>
              <w:top w:val="nil"/>
              <w:left w:val="nil"/>
              <w:bottom w:val="nil"/>
              <w:right w:val="single" w:color="000000" w:sz="6" w:space="0"/>
            </w:tcBorders>
            <w:shd w:val="clear" w:color="auto" w:fill="FFFFFF"/>
            <w:noWrap w:val="0"/>
            <w:vAlign w:val="center"/>
          </w:tcPr>
          <w:p w14:paraId="71B4E8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highlight w:val="none"/>
              </w:rPr>
            </w:pPr>
            <w:r>
              <w:rPr>
                <w:rFonts w:hint="eastAsia" w:ascii="宋体" w:hAnsi="宋体" w:eastAsia="宋体" w:cs="宋体"/>
                <w:i w:val="0"/>
                <w:iCs w:val="0"/>
                <w:caps w:val="0"/>
                <w:color w:val="auto"/>
                <w:spacing w:val="0"/>
                <w:sz w:val="21"/>
                <w:szCs w:val="21"/>
                <w:highlight w:val="none"/>
              </w:rPr>
              <w:t>港澳台投资企业</w:t>
            </w:r>
          </w:p>
        </w:tc>
        <w:tc>
          <w:tcPr>
            <w:tcW w:w="2932" w:type="dxa"/>
            <w:tcBorders>
              <w:top w:val="nil"/>
              <w:left w:val="single" w:color="000000" w:sz="6" w:space="0"/>
              <w:bottom w:val="nil"/>
              <w:right w:val="single" w:color="000000" w:sz="6" w:space="0"/>
            </w:tcBorders>
            <w:shd w:val="clear" w:color="auto" w:fill="FFFFFF"/>
            <w:noWrap w:val="0"/>
            <w:vAlign w:val="center"/>
          </w:tcPr>
          <w:p w14:paraId="775649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eastAsia" w:eastAsia="宋体"/>
                <w:color w:val="auto"/>
                <w:highlight w:val="none"/>
                <w:lang w:eastAsia="zh-CN"/>
              </w:rPr>
            </w:pPr>
            <w:r>
              <w:rPr>
                <w:rFonts w:hint="eastAsia" w:ascii="Times New Roman" w:hAnsi="Times New Roman" w:cs="Times New Roman"/>
                <w:i w:val="0"/>
                <w:iCs w:val="0"/>
                <w:caps w:val="0"/>
                <w:color w:val="auto"/>
                <w:spacing w:val="0"/>
                <w:sz w:val="21"/>
                <w:szCs w:val="21"/>
                <w:highlight w:val="none"/>
                <w:lang w:val="en-US" w:eastAsia="zh-CN"/>
              </w:rPr>
              <w:t>0</w:t>
            </w:r>
          </w:p>
        </w:tc>
        <w:tc>
          <w:tcPr>
            <w:tcW w:w="2940" w:type="dxa"/>
            <w:tcBorders>
              <w:top w:val="nil"/>
              <w:left w:val="single" w:color="000000" w:sz="6" w:space="0"/>
              <w:bottom w:val="nil"/>
              <w:right w:val="nil"/>
            </w:tcBorders>
            <w:shd w:val="clear" w:color="auto" w:fill="FFFFFF"/>
            <w:noWrap w:val="0"/>
            <w:vAlign w:val="center"/>
          </w:tcPr>
          <w:p w14:paraId="0E3D96A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eastAsia" w:eastAsia="宋体"/>
                <w:color w:val="auto"/>
                <w:highlight w:val="none"/>
                <w:lang w:eastAsia="zh-CN"/>
              </w:rPr>
            </w:pPr>
            <w:r>
              <w:rPr>
                <w:rFonts w:hint="eastAsia" w:ascii="Times New Roman" w:hAnsi="Times New Roman" w:cs="Times New Roman"/>
                <w:i w:val="0"/>
                <w:iCs w:val="0"/>
                <w:caps w:val="0"/>
                <w:color w:val="auto"/>
                <w:spacing w:val="0"/>
                <w:sz w:val="21"/>
                <w:szCs w:val="21"/>
                <w:highlight w:val="none"/>
                <w:lang w:val="en-US" w:eastAsia="zh-CN"/>
              </w:rPr>
              <w:t>0</w:t>
            </w:r>
          </w:p>
        </w:tc>
      </w:tr>
      <w:tr w14:paraId="58C5E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3" w:hRule="atLeast"/>
        </w:trPr>
        <w:tc>
          <w:tcPr>
            <w:tcW w:w="3736" w:type="dxa"/>
            <w:tcBorders>
              <w:top w:val="nil"/>
              <w:left w:val="nil"/>
              <w:bottom w:val="nil"/>
              <w:right w:val="single" w:color="000000" w:sz="6" w:space="0"/>
            </w:tcBorders>
            <w:shd w:val="clear" w:color="auto" w:fill="FFFFFF"/>
            <w:noWrap w:val="0"/>
            <w:vAlign w:val="center"/>
          </w:tcPr>
          <w:p w14:paraId="1254E7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highlight w:val="none"/>
              </w:rPr>
            </w:pPr>
            <w:r>
              <w:rPr>
                <w:rFonts w:hint="eastAsia" w:ascii="宋体" w:hAnsi="宋体" w:eastAsia="宋体" w:cs="宋体"/>
                <w:i w:val="0"/>
                <w:iCs w:val="0"/>
                <w:caps w:val="0"/>
                <w:color w:val="auto"/>
                <w:spacing w:val="0"/>
                <w:sz w:val="21"/>
                <w:szCs w:val="21"/>
                <w:highlight w:val="none"/>
              </w:rPr>
              <w:t>外商投资企业</w:t>
            </w:r>
          </w:p>
        </w:tc>
        <w:tc>
          <w:tcPr>
            <w:tcW w:w="2932" w:type="dxa"/>
            <w:tcBorders>
              <w:top w:val="nil"/>
              <w:left w:val="single" w:color="000000" w:sz="6" w:space="0"/>
              <w:bottom w:val="nil"/>
              <w:right w:val="single" w:color="000000" w:sz="6" w:space="0"/>
            </w:tcBorders>
            <w:shd w:val="clear" w:color="auto" w:fill="FFFFFF"/>
            <w:noWrap w:val="0"/>
            <w:vAlign w:val="center"/>
          </w:tcPr>
          <w:p w14:paraId="655567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eastAsia" w:eastAsia="宋体"/>
                <w:color w:val="auto"/>
                <w:highlight w:val="none"/>
                <w:lang w:eastAsia="zh-CN"/>
              </w:rPr>
            </w:pPr>
            <w:r>
              <w:rPr>
                <w:rFonts w:hint="eastAsia" w:ascii="Times New Roman" w:hAnsi="Times New Roman" w:cs="Times New Roman"/>
                <w:i w:val="0"/>
                <w:iCs w:val="0"/>
                <w:caps w:val="0"/>
                <w:color w:val="auto"/>
                <w:spacing w:val="0"/>
                <w:sz w:val="21"/>
                <w:szCs w:val="21"/>
                <w:highlight w:val="none"/>
                <w:lang w:val="en-US" w:eastAsia="zh-CN"/>
              </w:rPr>
              <w:t>0</w:t>
            </w:r>
          </w:p>
        </w:tc>
        <w:tc>
          <w:tcPr>
            <w:tcW w:w="2940" w:type="dxa"/>
            <w:tcBorders>
              <w:top w:val="nil"/>
              <w:left w:val="single" w:color="000000" w:sz="6" w:space="0"/>
              <w:bottom w:val="nil"/>
              <w:right w:val="nil"/>
            </w:tcBorders>
            <w:shd w:val="clear" w:color="auto" w:fill="FFFFFF"/>
            <w:noWrap w:val="0"/>
            <w:vAlign w:val="center"/>
          </w:tcPr>
          <w:p w14:paraId="18EF429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eastAsia" w:eastAsia="宋体"/>
                <w:color w:val="auto"/>
                <w:highlight w:val="none"/>
                <w:lang w:eastAsia="zh-CN"/>
              </w:rPr>
            </w:pPr>
            <w:r>
              <w:rPr>
                <w:rFonts w:hint="eastAsia" w:ascii="Times New Roman" w:hAnsi="Times New Roman" w:cs="Times New Roman"/>
                <w:i w:val="0"/>
                <w:iCs w:val="0"/>
                <w:caps w:val="0"/>
                <w:color w:val="auto"/>
                <w:spacing w:val="0"/>
                <w:sz w:val="21"/>
                <w:szCs w:val="21"/>
                <w:highlight w:val="none"/>
                <w:lang w:val="en-US" w:eastAsia="zh-CN"/>
              </w:rPr>
              <w:t>0</w:t>
            </w:r>
          </w:p>
        </w:tc>
      </w:tr>
      <w:tr w14:paraId="4EC4F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3" w:hRule="atLeast"/>
        </w:trPr>
        <w:tc>
          <w:tcPr>
            <w:tcW w:w="3736" w:type="dxa"/>
            <w:tcBorders>
              <w:top w:val="nil"/>
              <w:left w:val="nil"/>
              <w:bottom w:val="single" w:color="000000" w:sz="12" w:space="0"/>
              <w:right w:val="single" w:color="000000" w:sz="6" w:space="0"/>
            </w:tcBorders>
            <w:shd w:val="clear" w:color="auto" w:fill="FFFFFF"/>
            <w:noWrap w:val="0"/>
            <w:vAlign w:val="center"/>
          </w:tcPr>
          <w:p w14:paraId="108D4E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highlight w:val="none"/>
              </w:rPr>
            </w:pPr>
            <w:r>
              <w:rPr>
                <w:rFonts w:hint="eastAsia" w:ascii="宋体" w:hAnsi="宋体" w:eastAsia="宋体" w:cs="宋体"/>
                <w:i w:val="0"/>
                <w:iCs w:val="0"/>
                <w:caps w:val="0"/>
                <w:color w:val="auto"/>
                <w:spacing w:val="0"/>
                <w:sz w:val="21"/>
                <w:szCs w:val="21"/>
                <w:highlight w:val="none"/>
              </w:rPr>
              <w:t>其他统计类别</w:t>
            </w:r>
          </w:p>
        </w:tc>
        <w:tc>
          <w:tcPr>
            <w:tcW w:w="2932" w:type="dxa"/>
            <w:tcBorders>
              <w:top w:val="nil"/>
              <w:left w:val="single" w:color="000000" w:sz="6" w:space="0"/>
              <w:bottom w:val="single" w:color="000000" w:sz="12" w:space="0"/>
              <w:right w:val="single" w:color="000000" w:sz="6" w:space="0"/>
            </w:tcBorders>
            <w:shd w:val="clear" w:color="auto" w:fill="FFFFFF"/>
            <w:noWrap w:val="0"/>
            <w:vAlign w:val="center"/>
          </w:tcPr>
          <w:p w14:paraId="720138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eastAsia" w:eastAsia="宋体"/>
                <w:color w:val="auto"/>
                <w:highlight w:val="none"/>
                <w:lang w:eastAsia="zh-CN"/>
              </w:rPr>
            </w:pPr>
            <w:r>
              <w:rPr>
                <w:rFonts w:hint="eastAsia" w:ascii="Times New Roman" w:hAnsi="Times New Roman" w:cs="Times New Roman"/>
                <w:i w:val="0"/>
                <w:iCs w:val="0"/>
                <w:caps w:val="0"/>
                <w:color w:val="auto"/>
                <w:spacing w:val="0"/>
                <w:sz w:val="21"/>
                <w:szCs w:val="21"/>
                <w:highlight w:val="none"/>
                <w:lang w:val="en-US" w:eastAsia="zh-CN"/>
              </w:rPr>
              <w:t>1</w:t>
            </w:r>
          </w:p>
        </w:tc>
        <w:tc>
          <w:tcPr>
            <w:tcW w:w="2940" w:type="dxa"/>
            <w:tcBorders>
              <w:top w:val="nil"/>
              <w:left w:val="single" w:color="000000" w:sz="6" w:space="0"/>
              <w:bottom w:val="single" w:color="000000" w:sz="12" w:space="0"/>
              <w:right w:val="nil"/>
            </w:tcBorders>
            <w:shd w:val="clear" w:color="auto" w:fill="FFFFFF"/>
            <w:noWrap w:val="0"/>
            <w:vAlign w:val="center"/>
          </w:tcPr>
          <w:p w14:paraId="5FD82C3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eastAsia" w:eastAsia="宋体"/>
                <w:color w:val="auto"/>
                <w:highlight w:val="none"/>
                <w:lang w:eastAsia="zh-CN"/>
              </w:rPr>
            </w:pPr>
            <w:r>
              <w:rPr>
                <w:rFonts w:hint="eastAsia" w:ascii="Times New Roman" w:hAnsi="Times New Roman" w:cs="Times New Roman"/>
                <w:i w:val="0"/>
                <w:iCs w:val="0"/>
                <w:caps w:val="0"/>
                <w:color w:val="auto"/>
                <w:spacing w:val="0"/>
                <w:sz w:val="21"/>
                <w:szCs w:val="21"/>
                <w:highlight w:val="none"/>
                <w:lang w:val="en-US" w:eastAsia="zh-CN"/>
              </w:rPr>
              <w:t>5</w:t>
            </w:r>
          </w:p>
        </w:tc>
      </w:tr>
    </w:tbl>
    <w:p w14:paraId="2552D87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Calibri" w:hAnsi="Calibri" w:cs="Calibri"/>
          <w:i w:val="0"/>
          <w:iCs w:val="0"/>
          <w:caps w:val="0"/>
          <w:color w:val="auto"/>
          <w:spacing w:val="0"/>
          <w:sz w:val="24"/>
          <w:szCs w:val="24"/>
        </w:rPr>
      </w:pPr>
      <w:r>
        <w:rPr>
          <w:rFonts w:hint="default" w:ascii="Times New Roman" w:hAnsi="Times New Roman" w:cs="Times New Roman"/>
          <w:i w:val="0"/>
          <w:iCs w:val="0"/>
          <w:caps w:val="0"/>
          <w:color w:val="auto"/>
          <w:spacing w:val="0"/>
          <w:sz w:val="24"/>
          <w:szCs w:val="24"/>
          <w:shd w:val="clear" w:color="auto" w:fill="FFFFFF"/>
        </w:rPr>
        <w:t> </w:t>
      </w:r>
    </w:p>
    <w:p w14:paraId="38586BB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　　</w:t>
      </w:r>
    </w:p>
    <w:p w14:paraId="2707A3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both"/>
        <w:rPr>
          <w:rFonts w:hint="eastAsia" w:ascii="楷体_GB2312" w:hAnsi="楷体_GB2312" w:eastAsia="楷体_GB2312" w:cs="楷体_GB2312"/>
          <w:i w:val="0"/>
          <w:iCs w:val="0"/>
          <w:caps w:val="0"/>
          <w:color w:val="auto"/>
          <w:spacing w:val="0"/>
          <w:sz w:val="32"/>
          <w:szCs w:val="32"/>
        </w:rPr>
      </w:pPr>
      <w:r>
        <w:rPr>
          <w:rFonts w:hint="eastAsia" w:ascii="楷体_GB2312" w:hAnsi="楷体_GB2312" w:eastAsia="楷体_GB2312" w:cs="楷体_GB2312"/>
          <w:i w:val="0"/>
          <w:iCs w:val="0"/>
          <w:caps w:val="0"/>
          <w:color w:val="auto"/>
          <w:spacing w:val="0"/>
          <w:sz w:val="32"/>
          <w:szCs w:val="32"/>
          <w:shd w:val="clear" w:color="auto" w:fill="FFFFFF"/>
        </w:rPr>
        <w:t>（二）主要经济指标</w:t>
      </w:r>
    </w:p>
    <w:p w14:paraId="7FE645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both"/>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2023年末，居民服务、修理和其他服务业企业法人单位资产总计</w:t>
      </w:r>
      <w:r>
        <w:rPr>
          <w:rFonts w:hint="eastAsia" w:ascii="仿宋_GB2312" w:hAnsi="仿宋_GB2312" w:eastAsia="仿宋_GB2312" w:cs="仿宋_GB2312"/>
          <w:i w:val="0"/>
          <w:iCs w:val="0"/>
          <w:caps w:val="0"/>
          <w:color w:val="auto"/>
          <w:spacing w:val="0"/>
          <w:sz w:val="32"/>
          <w:szCs w:val="32"/>
          <w:shd w:val="clear" w:color="auto" w:fill="FFFFFF"/>
          <w:lang w:val="en-US" w:eastAsia="zh-CN"/>
        </w:rPr>
        <w:t>0.</w:t>
      </w:r>
      <w:r>
        <w:rPr>
          <w:rFonts w:hint="eastAsia" w:ascii="仿宋_GB2312" w:hAnsi="仿宋_GB2312" w:eastAsia="仿宋_GB2312" w:cs="仿宋_GB2312"/>
          <w:i w:val="0"/>
          <w:iCs w:val="0"/>
          <w:caps w:val="0"/>
          <w:color w:val="auto"/>
          <w:spacing w:val="0"/>
          <w:sz w:val="32"/>
          <w:szCs w:val="32"/>
          <w:shd w:val="clear" w:color="auto" w:fill="FFFFFF"/>
        </w:rPr>
        <w:t>4</w:t>
      </w:r>
      <w:r>
        <w:rPr>
          <w:rFonts w:hint="eastAsia" w:ascii="仿宋_GB2312" w:hAnsi="仿宋_GB2312" w:eastAsia="仿宋_GB2312" w:cs="仿宋_GB2312"/>
          <w:i w:val="0"/>
          <w:iCs w:val="0"/>
          <w:caps w:val="0"/>
          <w:color w:val="auto"/>
          <w:spacing w:val="0"/>
          <w:sz w:val="32"/>
          <w:szCs w:val="32"/>
          <w:shd w:val="clear" w:color="auto" w:fill="FFFFFF"/>
          <w:lang w:val="en-US" w:eastAsia="zh-CN"/>
        </w:rPr>
        <w:t>8亿</w:t>
      </w:r>
      <w:r>
        <w:rPr>
          <w:rFonts w:hint="eastAsia" w:ascii="仿宋_GB2312" w:hAnsi="仿宋_GB2312" w:eastAsia="仿宋_GB2312" w:cs="仿宋_GB2312"/>
          <w:i w:val="0"/>
          <w:iCs w:val="0"/>
          <w:caps w:val="0"/>
          <w:color w:val="auto"/>
          <w:spacing w:val="0"/>
          <w:sz w:val="32"/>
          <w:szCs w:val="32"/>
          <w:shd w:val="clear" w:color="auto" w:fill="FFFFFF"/>
        </w:rPr>
        <w:t>元，比2018年末增长</w:t>
      </w:r>
      <w:r>
        <w:rPr>
          <w:rFonts w:hint="eastAsia" w:ascii="仿宋_GB2312" w:hAnsi="仿宋_GB2312" w:eastAsia="仿宋_GB2312" w:cs="仿宋_GB2312"/>
          <w:i w:val="0"/>
          <w:iCs w:val="0"/>
          <w:caps w:val="0"/>
          <w:color w:val="auto"/>
          <w:spacing w:val="0"/>
          <w:sz w:val="32"/>
          <w:szCs w:val="32"/>
          <w:shd w:val="clear" w:color="auto" w:fill="FFFFFF"/>
          <w:lang w:val="en-US" w:eastAsia="zh-CN"/>
        </w:rPr>
        <w:t>53.0</w:t>
      </w:r>
      <w:r>
        <w:rPr>
          <w:rFonts w:hint="eastAsia" w:ascii="仿宋_GB2312" w:hAnsi="仿宋_GB2312" w:eastAsia="仿宋_GB2312" w:cs="仿宋_GB2312"/>
          <w:i w:val="0"/>
          <w:iCs w:val="0"/>
          <w:caps w:val="0"/>
          <w:color w:val="auto"/>
          <w:spacing w:val="0"/>
          <w:sz w:val="32"/>
          <w:szCs w:val="32"/>
          <w:shd w:val="clear" w:color="auto" w:fill="FFFFFF"/>
        </w:rPr>
        <w:t>%；负债合计</w:t>
      </w:r>
      <w:r>
        <w:rPr>
          <w:rFonts w:hint="eastAsia" w:ascii="仿宋_GB2312" w:hAnsi="仿宋_GB2312" w:eastAsia="仿宋_GB2312" w:cs="仿宋_GB2312"/>
          <w:i w:val="0"/>
          <w:iCs w:val="0"/>
          <w:caps w:val="0"/>
          <w:color w:val="auto"/>
          <w:spacing w:val="0"/>
          <w:sz w:val="32"/>
          <w:szCs w:val="32"/>
          <w:shd w:val="clear" w:color="auto" w:fill="FFFFFF"/>
          <w:lang w:val="en-US" w:eastAsia="zh-CN"/>
        </w:rPr>
        <w:t>0.34亿</w:t>
      </w:r>
      <w:r>
        <w:rPr>
          <w:rFonts w:hint="eastAsia" w:ascii="仿宋_GB2312" w:hAnsi="仿宋_GB2312" w:eastAsia="仿宋_GB2312" w:cs="仿宋_GB2312"/>
          <w:i w:val="0"/>
          <w:iCs w:val="0"/>
          <w:caps w:val="0"/>
          <w:color w:val="auto"/>
          <w:spacing w:val="0"/>
          <w:sz w:val="32"/>
          <w:szCs w:val="32"/>
          <w:shd w:val="clear" w:color="auto" w:fill="FFFFFF"/>
        </w:rPr>
        <w:t>元，</w:t>
      </w:r>
      <w:r>
        <w:rPr>
          <w:rFonts w:hint="eastAsia" w:ascii="仿宋_GB2312" w:hAnsi="仿宋_GB2312" w:eastAsia="仿宋_GB2312" w:cs="仿宋_GB2312"/>
          <w:i w:val="0"/>
          <w:iCs w:val="0"/>
          <w:caps w:val="0"/>
          <w:color w:val="auto"/>
          <w:spacing w:val="0"/>
          <w:sz w:val="32"/>
          <w:szCs w:val="32"/>
          <w:highlight w:val="none"/>
          <w:shd w:val="clear" w:color="auto" w:fill="FFFFFF"/>
        </w:rPr>
        <w:t>比2018年末增长</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169.3</w:t>
      </w:r>
      <w:r>
        <w:rPr>
          <w:rFonts w:hint="eastAsia" w:ascii="仿宋_GB2312" w:hAnsi="仿宋_GB2312" w:eastAsia="仿宋_GB2312" w:cs="仿宋_GB2312"/>
          <w:i w:val="0"/>
          <w:iCs w:val="0"/>
          <w:caps w:val="0"/>
          <w:color w:val="auto"/>
          <w:spacing w:val="0"/>
          <w:sz w:val="32"/>
          <w:szCs w:val="32"/>
          <w:highlight w:val="none"/>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rPr>
        <w:t>。全年实现营业收入</w:t>
      </w:r>
      <w:r>
        <w:rPr>
          <w:rFonts w:hint="eastAsia" w:ascii="仿宋_GB2312" w:hAnsi="仿宋_GB2312" w:eastAsia="仿宋_GB2312" w:cs="仿宋_GB2312"/>
          <w:i w:val="0"/>
          <w:iCs w:val="0"/>
          <w:caps w:val="0"/>
          <w:color w:val="auto"/>
          <w:spacing w:val="0"/>
          <w:sz w:val="32"/>
          <w:szCs w:val="32"/>
          <w:shd w:val="clear" w:color="auto" w:fill="FFFFFF"/>
          <w:lang w:val="en-US" w:eastAsia="zh-CN"/>
        </w:rPr>
        <w:t>0.56亿</w:t>
      </w:r>
      <w:r>
        <w:rPr>
          <w:rFonts w:hint="eastAsia" w:ascii="仿宋_GB2312" w:hAnsi="仿宋_GB2312" w:eastAsia="仿宋_GB2312" w:cs="仿宋_GB2312"/>
          <w:i w:val="0"/>
          <w:iCs w:val="0"/>
          <w:caps w:val="0"/>
          <w:color w:val="auto"/>
          <w:spacing w:val="0"/>
          <w:sz w:val="32"/>
          <w:szCs w:val="32"/>
          <w:shd w:val="clear" w:color="auto" w:fill="FFFFFF"/>
        </w:rPr>
        <w:t>元，</w:t>
      </w:r>
      <w:r>
        <w:rPr>
          <w:rFonts w:hint="eastAsia" w:ascii="仿宋_GB2312" w:hAnsi="仿宋_GB2312" w:eastAsia="仿宋_GB2312" w:cs="仿宋_GB2312"/>
          <w:i w:val="0"/>
          <w:iCs w:val="0"/>
          <w:caps w:val="0"/>
          <w:color w:val="auto"/>
          <w:spacing w:val="0"/>
          <w:sz w:val="32"/>
          <w:szCs w:val="32"/>
          <w:highlight w:val="none"/>
          <w:shd w:val="clear" w:color="auto" w:fill="FFFFFF"/>
        </w:rPr>
        <w:t>比2018年增长</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12.3</w:t>
      </w:r>
      <w:r>
        <w:rPr>
          <w:rFonts w:hint="eastAsia" w:ascii="仿宋_GB2312" w:hAnsi="仿宋_GB2312" w:eastAsia="仿宋_GB2312" w:cs="仿宋_GB2312"/>
          <w:i w:val="0"/>
          <w:iCs w:val="0"/>
          <w:caps w:val="0"/>
          <w:color w:val="auto"/>
          <w:spacing w:val="0"/>
          <w:sz w:val="32"/>
          <w:szCs w:val="32"/>
          <w:highlight w:val="none"/>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rPr>
        <w:t>（详见表5-6）。</w:t>
      </w:r>
    </w:p>
    <w:p w14:paraId="3DEAD2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both"/>
        <w:rPr>
          <w:rFonts w:hint="eastAsia" w:ascii="仿宋" w:hAnsi="仿宋" w:eastAsia="仿宋" w:cs="仿宋"/>
          <w:i w:val="0"/>
          <w:iCs w:val="0"/>
          <w:caps w:val="0"/>
          <w:color w:val="auto"/>
          <w:spacing w:val="0"/>
          <w:sz w:val="32"/>
          <w:szCs w:val="32"/>
          <w:shd w:val="clear" w:color="auto" w:fill="FFFFFF"/>
        </w:rPr>
      </w:pPr>
    </w:p>
    <w:p w14:paraId="734375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Calibri" w:hAnsi="Calibri" w:cs="Calibri"/>
          <w:i w:val="0"/>
          <w:iCs w:val="0"/>
          <w:caps w:val="0"/>
          <w:color w:val="auto"/>
          <w:spacing w:val="0"/>
          <w:sz w:val="24"/>
          <w:szCs w:val="24"/>
        </w:rPr>
      </w:pPr>
      <w:r>
        <w:rPr>
          <w:rFonts w:hint="default" w:ascii="Times New Roman" w:hAnsi="Times New Roman" w:cs="Times New Roman"/>
          <w:i w:val="0"/>
          <w:iCs w:val="0"/>
          <w:caps w:val="0"/>
          <w:color w:val="auto"/>
          <w:spacing w:val="0"/>
          <w:sz w:val="24"/>
          <w:szCs w:val="24"/>
          <w:shd w:val="clear" w:color="auto" w:fill="FFFFFF"/>
        </w:rPr>
        <w:t> </w:t>
      </w:r>
    </w:p>
    <w:p w14:paraId="646F84B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default" w:ascii="Calibri" w:hAnsi="Calibri" w:cs="Calibri"/>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color="auto" w:fill="FFFFFF"/>
        </w:rPr>
        <w:t>表</w:t>
      </w:r>
      <w:r>
        <w:rPr>
          <w:rFonts w:hint="default" w:ascii="Times New Roman" w:hAnsi="Times New Roman" w:cs="Times New Roman"/>
          <w:b/>
          <w:bCs/>
          <w:i w:val="0"/>
          <w:iCs w:val="0"/>
          <w:caps w:val="0"/>
          <w:color w:val="auto"/>
          <w:spacing w:val="0"/>
          <w:sz w:val="24"/>
          <w:szCs w:val="24"/>
          <w:shd w:val="clear" w:color="auto" w:fill="FFFFFF"/>
        </w:rPr>
        <w:t>5-6</w:t>
      </w:r>
      <w:r>
        <w:rPr>
          <w:rFonts w:hint="eastAsia" w:ascii="宋体" w:hAnsi="宋体" w:eastAsia="宋体" w:cs="宋体"/>
          <w:b/>
          <w:bCs/>
          <w:i w:val="0"/>
          <w:iCs w:val="0"/>
          <w:caps w:val="0"/>
          <w:color w:val="auto"/>
          <w:spacing w:val="0"/>
          <w:sz w:val="24"/>
          <w:szCs w:val="24"/>
          <w:shd w:val="clear" w:color="auto" w:fill="FFFFFF"/>
        </w:rPr>
        <w:t>　按行业大类分组的居民服务、修理和其他服务业企业法人单位主要经济指标</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017"/>
        <w:gridCol w:w="1416"/>
        <w:gridCol w:w="1416"/>
        <w:gridCol w:w="1457"/>
      </w:tblGrid>
      <w:tr w14:paraId="1E3DB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3" w:hRule="atLeast"/>
        </w:trPr>
        <w:tc>
          <w:tcPr>
            <w:tcW w:w="9638" w:type="dxa"/>
            <w:gridSpan w:val="4"/>
            <w:tcBorders>
              <w:top w:val="nil"/>
              <w:left w:val="nil"/>
              <w:bottom w:val="single" w:color="000000" w:sz="12" w:space="0"/>
              <w:right w:val="nil"/>
            </w:tcBorders>
            <w:shd w:val="clear" w:color="auto" w:fill="FFFFFF"/>
            <w:noWrap w:val="0"/>
            <w:vAlign w:val="center"/>
          </w:tcPr>
          <w:p w14:paraId="243F32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right"/>
              <w:rPr>
                <w:color w:val="auto"/>
              </w:rPr>
            </w:pPr>
            <w:r>
              <w:rPr>
                <w:rFonts w:hint="default" w:ascii="Times New Roman" w:hAnsi="Times New Roman" w:cs="Times New Roman"/>
                <w:i w:val="0"/>
                <w:iCs w:val="0"/>
                <w:caps w:val="0"/>
                <w:color w:val="auto"/>
                <w:spacing w:val="0"/>
                <w:sz w:val="21"/>
                <w:szCs w:val="21"/>
              </w:rPr>
              <w:t> </w:t>
            </w:r>
          </w:p>
        </w:tc>
      </w:tr>
      <w:tr w14:paraId="2878C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4774" w:type="dxa"/>
            <w:tcBorders>
              <w:top w:val="single" w:color="000000" w:sz="12" w:space="0"/>
              <w:left w:val="nil"/>
              <w:bottom w:val="single" w:color="000000" w:sz="6" w:space="0"/>
              <w:right w:val="single" w:color="000000" w:sz="6" w:space="0"/>
            </w:tcBorders>
            <w:shd w:val="clear" w:color="auto" w:fill="FFFFFF"/>
            <w:noWrap w:val="0"/>
            <w:vAlign w:val="center"/>
          </w:tcPr>
          <w:p w14:paraId="58475E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default" w:ascii="Times New Roman" w:hAnsi="Times New Roman" w:cs="Times New Roman"/>
                <w:i w:val="0"/>
                <w:iCs w:val="0"/>
                <w:caps w:val="0"/>
                <w:color w:val="auto"/>
                <w:spacing w:val="0"/>
                <w:sz w:val="21"/>
                <w:szCs w:val="21"/>
              </w:rPr>
              <w:t> </w:t>
            </w:r>
          </w:p>
        </w:tc>
        <w:tc>
          <w:tcPr>
            <w:tcW w:w="1604" w:type="dxa"/>
            <w:tcBorders>
              <w:top w:val="single" w:color="000000" w:sz="12" w:space="0"/>
              <w:left w:val="single" w:color="000000" w:sz="6" w:space="0"/>
              <w:bottom w:val="single" w:color="000000" w:sz="6" w:space="0"/>
              <w:right w:val="single" w:color="000000" w:sz="6" w:space="0"/>
            </w:tcBorders>
            <w:shd w:val="clear" w:color="auto" w:fill="FFFFFF"/>
            <w:noWrap w:val="0"/>
            <w:vAlign w:val="center"/>
          </w:tcPr>
          <w:p w14:paraId="67B80F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1"/>
                <w:szCs w:val="21"/>
              </w:rPr>
              <w:t>资产总计</w:t>
            </w:r>
          </w:p>
          <w:p w14:paraId="2B9173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1"/>
                <w:szCs w:val="21"/>
              </w:rPr>
              <w:t>（</w:t>
            </w:r>
            <w:r>
              <w:rPr>
                <w:rFonts w:hint="eastAsia" w:ascii="宋体" w:hAnsi="宋体" w:eastAsia="宋体" w:cs="宋体"/>
                <w:i w:val="0"/>
                <w:iCs w:val="0"/>
                <w:caps w:val="0"/>
                <w:color w:val="auto"/>
                <w:spacing w:val="0"/>
                <w:sz w:val="21"/>
                <w:szCs w:val="21"/>
                <w:lang w:val="en-US" w:eastAsia="zh-CN"/>
              </w:rPr>
              <w:t>亿</w:t>
            </w:r>
            <w:r>
              <w:rPr>
                <w:rFonts w:hint="eastAsia" w:ascii="宋体" w:hAnsi="宋体" w:eastAsia="宋体" w:cs="宋体"/>
                <w:i w:val="0"/>
                <w:iCs w:val="0"/>
                <w:caps w:val="0"/>
                <w:color w:val="auto"/>
                <w:spacing w:val="0"/>
                <w:sz w:val="21"/>
                <w:szCs w:val="21"/>
              </w:rPr>
              <w:t>元）</w:t>
            </w:r>
          </w:p>
        </w:tc>
        <w:tc>
          <w:tcPr>
            <w:tcW w:w="1604" w:type="dxa"/>
            <w:tcBorders>
              <w:top w:val="single" w:color="000000" w:sz="12" w:space="0"/>
              <w:left w:val="single" w:color="000000" w:sz="6" w:space="0"/>
              <w:bottom w:val="single" w:color="000000" w:sz="6" w:space="0"/>
              <w:right w:val="single" w:color="000000" w:sz="6" w:space="0"/>
            </w:tcBorders>
            <w:shd w:val="clear" w:color="auto" w:fill="FFFFFF"/>
            <w:noWrap w:val="0"/>
            <w:vAlign w:val="center"/>
          </w:tcPr>
          <w:p w14:paraId="38154A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1"/>
                <w:szCs w:val="21"/>
              </w:rPr>
              <w:t>负债合计</w:t>
            </w:r>
          </w:p>
          <w:p w14:paraId="2053D8B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1"/>
                <w:szCs w:val="21"/>
              </w:rPr>
              <w:t>（</w:t>
            </w:r>
            <w:r>
              <w:rPr>
                <w:rFonts w:hint="eastAsia" w:ascii="宋体" w:hAnsi="宋体" w:eastAsia="宋体" w:cs="宋体"/>
                <w:i w:val="0"/>
                <w:iCs w:val="0"/>
                <w:caps w:val="0"/>
                <w:color w:val="auto"/>
                <w:spacing w:val="0"/>
                <w:sz w:val="21"/>
                <w:szCs w:val="21"/>
                <w:lang w:val="en-US" w:eastAsia="zh-CN"/>
              </w:rPr>
              <w:t>亿</w:t>
            </w:r>
            <w:r>
              <w:rPr>
                <w:rFonts w:hint="eastAsia" w:ascii="宋体" w:hAnsi="宋体" w:eastAsia="宋体" w:cs="宋体"/>
                <w:i w:val="0"/>
                <w:iCs w:val="0"/>
                <w:caps w:val="0"/>
                <w:color w:val="auto"/>
                <w:spacing w:val="0"/>
                <w:sz w:val="21"/>
                <w:szCs w:val="21"/>
              </w:rPr>
              <w:t>元）</w:t>
            </w:r>
          </w:p>
        </w:tc>
        <w:tc>
          <w:tcPr>
            <w:tcW w:w="1612" w:type="dxa"/>
            <w:tcBorders>
              <w:top w:val="single" w:color="000000" w:sz="12" w:space="0"/>
              <w:left w:val="single" w:color="000000" w:sz="6" w:space="0"/>
              <w:bottom w:val="single" w:color="000000" w:sz="6" w:space="0"/>
              <w:right w:val="nil"/>
            </w:tcBorders>
            <w:shd w:val="clear" w:color="auto" w:fill="FFFFFF"/>
            <w:noWrap w:val="0"/>
            <w:vAlign w:val="center"/>
          </w:tcPr>
          <w:p w14:paraId="61E42C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1"/>
                <w:szCs w:val="21"/>
              </w:rPr>
              <w:t>营业收入</w:t>
            </w:r>
          </w:p>
          <w:p w14:paraId="4D6631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1"/>
                <w:szCs w:val="21"/>
              </w:rPr>
              <w:t>（</w:t>
            </w:r>
            <w:r>
              <w:rPr>
                <w:rFonts w:hint="eastAsia" w:ascii="宋体" w:hAnsi="宋体" w:eastAsia="宋体" w:cs="宋体"/>
                <w:i w:val="0"/>
                <w:iCs w:val="0"/>
                <w:caps w:val="0"/>
                <w:color w:val="auto"/>
                <w:spacing w:val="0"/>
                <w:sz w:val="21"/>
                <w:szCs w:val="21"/>
                <w:lang w:val="en-US" w:eastAsia="zh-CN"/>
              </w:rPr>
              <w:t>亿</w:t>
            </w:r>
            <w:r>
              <w:rPr>
                <w:rFonts w:hint="eastAsia" w:ascii="宋体" w:hAnsi="宋体" w:eastAsia="宋体" w:cs="宋体"/>
                <w:i w:val="0"/>
                <w:iCs w:val="0"/>
                <w:caps w:val="0"/>
                <w:color w:val="auto"/>
                <w:spacing w:val="0"/>
                <w:sz w:val="21"/>
                <w:szCs w:val="21"/>
              </w:rPr>
              <w:t>元）</w:t>
            </w:r>
          </w:p>
        </w:tc>
      </w:tr>
      <w:tr w14:paraId="027B1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4774" w:type="dxa"/>
            <w:tcBorders>
              <w:top w:val="single" w:color="000000" w:sz="6" w:space="0"/>
              <w:left w:val="nil"/>
              <w:bottom w:val="nil"/>
              <w:right w:val="single" w:color="000000" w:sz="6" w:space="0"/>
            </w:tcBorders>
            <w:shd w:val="clear" w:color="auto" w:fill="FFFFFF"/>
            <w:noWrap w:val="0"/>
            <w:vAlign w:val="center"/>
          </w:tcPr>
          <w:p w14:paraId="5BF0D3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rPr>
            </w:pPr>
            <w:r>
              <w:rPr>
                <w:rFonts w:hint="eastAsia" w:ascii="宋体" w:hAnsi="宋体" w:eastAsia="宋体" w:cs="宋体"/>
                <w:b/>
                <w:bCs/>
                <w:i w:val="0"/>
                <w:iCs w:val="0"/>
                <w:caps w:val="0"/>
                <w:color w:val="auto"/>
                <w:spacing w:val="0"/>
                <w:sz w:val="21"/>
                <w:szCs w:val="21"/>
              </w:rPr>
              <w:t>合　计</w:t>
            </w:r>
          </w:p>
        </w:tc>
        <w:tc>
          <w:tcPr>
            <w:tcW w:w="1604" w:type="dxa"/>
            <w:tcBorders>
              <w:top w:val="single" w:color="000000" w:sz="6" w:space="0"/>
              <w:left w:val="single" w:color="000000" w:sz="6" w:space="0"/>
              <w:bottom w:val="nil"/>
              <w:right w:val="single" w:color="000000" w:sz="6" w:space="0"/>
            </w:tcBorders>
            <w:shd w:val="clear" w:color="auto" w:fill="FFFFFF"/>
            <w:noWrap w:val="0"/>
            <w:vAlign w:val="center"/>
          </w:tcPr>
          <w:p w14:paraId="302B5F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b/>
                <w:bCs/>
                <w:i w:val="0"/>
                <w:iCs w:val="0"/>
                <w:caps w:val="0"/>
                <w:color w:val="auto"/>
                <w:spacing w:val="0"/>
                <w:sz w:val="21"/>
                <w:szCs w:val="21"/>
                <w:lang w:val="en-US" w:eastAsia="zh-CN"/>
              </w:rPr>
              <w:t>0.48</w:t>
            </w:r>
          </w:p>
        </w:tc>
        <w:tc>
          <w:tcPr>
            <w:tcW w:w="1604" w:type="dxa"/>
            <w:tcBorders>
              <w:top w:val="single" w:color="000000" w:sz="6" w:space="0"/>
              <w:left w:val="single" w:color="000000" w:sz="6" w:space="0"/>
              <w:bottom w:val="nil"/>
              <w:right w:val="single" w:color="000000" w:sz="6" w:space="0"/>
            </w:tcBorders>
            <w:shd w:val="clear" w:color="auto" w:fill="FFFFFF"/>
            <w:noWrap w:val="0"/>
            <w:vAlign w:val="center"/>
          </w:tcPr>
          <w:p w14:paraId="68BAA5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b/>
                <w:bCs/>
                <w:i w:val="0"/>
                <w:iCs w:val="0"/>
                <w:caps w:val="0"/>
                <w:color w:val="auto"/>
                <w:spacing w:val="0"/>
                <w:sz w:val="21"/>
                <w:szCs w:val="21"/>
                <w:lang w:val="en-US" w:eastAsia="zh-CN"/>
              </w:rPr>
              <w:t>0.34</w:t>
            </w:r>
          </w:p>
        </w:tc>
        <w:tc>
          <w:tcPr>
            <w:tcW w:w="1612" w:type="dxa"/>
            <w:tcBorders>
              <w:top w:val="single" w:color="000000" w:sz="6" w:space="0"/>
              <w:left w:val="single" w:color="000000" w:sz="6" w:space="0"/>
              <w:bottom w:val="nil"/>
              <w:right w:val="nil"/>
            </w:tcBorders>
            <w:shd w:val="clear" w:color="auto" w:fill="FFFFFF"/>
            <w:noWrap w:val="0"/>
            <w:vAlign w:val="center"/>
          </w:tcPr>
          <w:p w14:paraId="473B7D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b/>
                <w:bCs/>
                <w:i w:val="0"/>
                <w:iCs w:val="0"/>
                <w:caps w:val="0"/>
                <w:color w:val="auto"/>
                <w:spacing w:val="0"/>
                <w:sz w:val="21"/>
                <w:szCs w:val="21"/>
                <w:lang w:val="en-US" w:eastAsia="zh-CN"/>
              </w:rPr>
              <w:t>0.56</w:t>
            </w:r>
          </w:p>
        </w:tc>
      </w:tr>
      <w:tr w14:paraId="7E2F9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4774" w:type="dxa"/>
            <w:tcBorders>
              <w:top w:val="nil"/>
              <w:left w:val="nil"/>
              <w:bottom w:val="nil"/>
              <w:right w:val="single" w:color="000000" w:sz="6" w:space="0"/>
            </w:tcBorders>
            <w:shd w:val="clear" w:color="auto" w:fill="FFFFFF"/>
            <w:noWrap w:val="0"/>
            <w:vAlign w:val="center"/>
          </w:tcPr>
          <w:p w14:paraId="2671EA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rPr>
            </w:pPr>
            <w:r>
              <w:rPr>
                <w:rFonts w:hint="eastAsia" w:ascii="宋体" w:hAnsi="宋体" w:eastAsia="宋体" w:cs="宋体"/>
                <w:i w:val="0"/>
                <w:iCs w:val="0"/>
                <w:caps w:val="0"/>
                <w:color w:val="auto"/>
                <w:spacing w:val="0"/>
                <w:sz w:val="21"/>
                <w:szCs w:val="21"/>
              </w:rPr>
              <w:t>居民服务业</w:t>
            </w:r>
          </w:p>
        </w:tc>
        <w:tc>
          <w:tcPr>
            <w:tcW w:w="1604" w:type="dxa"/>
            <w:tcBorders>
              <w:top w:val="nil"/>
              <w:left w:val="single" w:color="000000" w:sz="6" w:space="0"/>
              <w:bottom w:val="nil"/>
              <w:right w:val="single" w:color="000000" w:sz="6" w:space="0"/>
            </w:tcBorders>
            <w:shd w:val="clear" w:color="auto" w:fill="FFFFFF"/>
            <w:noWrap w:val="0"/>
            <w:vAlign w:val="center"/>
          </w:tcPr>
          <w:p w14:paraId="794F54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ascii="Times New Roman" w:hAnsi="Times New Roman" w:cs="Times New Roman"/>
                <w:i w:val="0"/>
                <w:iCs w:val="0"/>
                <w:caps w:val="0"/>
                <w:color w:val="auto"/>
                <w:spacing w:val="0"/>
                <w:sz w:val="21"/>
                <w:szCs w:val="21"/>
                <w:lang w:val="en-US" w:eastAsia="zh-CN"/>
              </w:rPr>
            </w:pPr>
            <w:r>
              <w:rPr>
                <w:rFonts w:hint="eastAsia" w:ascii="Times New Roman" w:hAnsi="Times New Roman" w:cs="Times New Roman"/>
                <w:i w:val="0"/>
                <w:iCs w:val="0"/>
                <w:caps w:val="0"/>
                <w:color w:val="auto"/>
                <w:spacing w:val="0"/>
                <w:sz w:val="21"/>
                <w:szCs w:val="21"/>
                <w:lang w:val="en-US" w:eastAsia="zh-CN"/>
              </w:rPr>
              <w:t>0.</w:t>
            </w:r>
            <w:r>
              <w:rPr>
                <w:rFonts w:hint="default" w:ascii="Times New Roman" w:hAnsi="Times New Roman" w:cs="Times New Roman"/>
                <w:i w:val="0"/>
                <w:iCs w:val="0"/>
                <w:caps w:val="0"/>
                <w:color w:val="auto"/>
                <w:spacing w:val="0"/>
                <w:sz w:val="21"/>
                <w:szCs w:val="21"/>
                <w:lang w:val="en-US" w:eastAsia="zh-CN"/>
              </w:rPr>
              <w:t>21</w:t>
            </w:r>
          </w:p>
        </w:tc>
        <w:tc>
          <w:tcPr>
            <w:tcW w:w="1604" w:type="dxa"/>
            <w:tcBorders>
              <w:top w:val="nil"/>
              <w:left w:val="single" w:color="000000" w:sz="6" w:space="0"/>
              <w:bottom w:val="nil"/>
              <w:right w:val="single" w:color="000000" w:sz="6" w:space="0"/>
            </w:tcBorders>
            <w:shd w:val="clear" w:color="auto" w:fill="FFFFFF"/>
            <w:noWrap w:val="0"/>
            <w:vAlign w:val="center"/>
          </w:tcPr>
          <w:p w14:paraId="32B7BC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ascii="Times New Roman" w:hAnsi="Times New Roman" w:cs="Times New Roman"/>
                <w:i w:val="0"/>
                <w:iCs w:val="0"/>
                <w:caps w:val="0"/>
                <w:color w:val="auto"/>
                <w:spacing w:val="0"/>
                <w:sz w:val="21"/>
                <w:szCs w:val="21"/>
                <w:lang w:val="en-US" w:eastAsia="zh-CN"/>
              </w:rPr>
            </w:pPr>
            <w:r>
              <w:rPr>
                <w:rFonts w:hint="eastAsia" w:ascii="Times New Roman" w:hAnsi="Times New Roman" w:cs="Times New Roman"/>
                <w:i w:val="0"/>
                <w:iCs w:val="0"/>
                <w:caps w:val="0"/>
                <w:color w:val="auto"/>
                <w:spacing w:val="0"/>
                <w:sz w:val="21"/>
                <w:szCs w:val="21"/>
                <w:lang w:val="en-US" w:eastAsia="zh-CN"/>
              </w:rPr>
              <w:t>0.13</w:t>
            </w:r>
          </w:p>
        </w:tc>
        <w:tc>
          <w:tcPr>
            <w:tcW w:w="1612" w:type="dxa"/>
            <w:tcBorders>
              <w:top w:val="nil"/>
              <w:left w:val="single" w:color="000000" w:sz="6" w:space="0"/>
              <w:bottom w:val="nil"/>
              <w:right w:val="nil"/>
            </w:tcBorders>
            <w:shd w:val="clear" w:color="auto" w:fill="FFFFFF"/>
            <w:noWrap w:val="0"/>
            <w:vAlign w:val="center"/>
          </w:tcPr>
          <w:p w14:paraId="1A2618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ascii="Times New Roman" w:hAnsi="Times New Roman" w:cs="Times New Roman"/>
                <w:i w:val="0"/>
                <w:iCs w:val="0"/>
                <w:caps w:val="0"/>
                <w:color w:val="auto"/>
                <w:spacing w:val="0"/>
                <w:sz w:val="21"/>
                <w:szCs w:val="21"/>
                <w:lang w:val="en-US" w:eastAsia="zh-CN"/>
              </w:rPr>
            </w:pPr>
            <w:r>
              <w:rPr>
                <w:rFonts w:hint="eastAsia" w:ascii="Times New Roman" w:hAnsi="Times New Roman" w:cs="Times New Roman"/>
                <w:i w:val="0"/>
                <w:iCs w:val="0"/>
                <w:caps w:val="0"/>
                <w:color w:val="auto"/>
                <w:spacing w:val="0"/>
                <w:sz w:val="21"/>
                <w:szCs w:val="21"/>
                <w:lang w:val="en-US" w:eastAsia="zh-CN"/>
              </w:rPr>
              <w:t>0.27</w:t>
            </w:r>
          </w:p>
        </w:tc>
      </w:tr>
      <w:tr w14:paraId="2C41C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3" w:hRule="atLeast"/>
        </w:trPr>
        <w:tc>
          <w:tcPr>
            <w:tcW w:w="4774" w:type="dxa"/>
            <w:tcBorders>
              <w:top w:val="nil"/>
              <w:left w:val="nil"/>
              <w:bottom w:val="nil"/>
              <w:right w:val="single" w:color="000000" w:sz="6" w:space="0"/>
            </w:tcBorders>
            <w:shd w:val="clear" w:color="auto" w:fill="FFFFFF"/>
            <w:noWrap w:val="0"/>
            <w:vAlign w:val="center"/>
          </w:tcPr>
          <w:p w14:paraId="707D23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rPr>
            </w:pPr>
            <w:r>
              <w:rPr>
                <w:rFonts w:hint="eastAsia" w:ascii="宋体" w:hAnsi="宋体" w:eastAsia="宋体" w:cs="宋体"/>
                <w:i w:val="0"/>
                <w:iCs w:val="0"/>
                <w:caps w:val="0"/>
                <w:color w:val="auto"/>
                <w:spacing w:val="0"/>
                <w:sz w:val="21"/>
                <w:szCs w:val="21"/>
              </w:rPr>
              <w:t>机动车、电子产品和日用产品修理业</w:t>
            </w:r>
          </w:p>
        </w:tc>
        <w:tc>
          <w:tcPr>
            <w:tcW w:w="1604" w:type="dxa"/>
            <w:tcBorders>
              <w:top w:val="nil"/>
              <w:left w:val="single" w:color="000000" w:sz="6" w:space="0"/>
              <w:bottom w:val="nil"/>
              <w:right w:val="single" w:color="000000" w:sz="6" w:space="0"/>
            </w:tcBorders>
            <w:shd w:val="clear" w:color="auto" w:fill="FFFFFF"/>
            <w:noWrap w:val="0"/>
            <w:vAlign w:val="center"/>
          </w:tcPr>
          <w:p w14:paraId="696DA9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i w:val="0"/>
                <w:iCs w:val="0"/>
                <w:caps w:val="0"/>
                <w:color w:val="auto"/>
                <w:spacing w:val="0"/>
                <w:sz w:val="21"/>
                <w:szCs w:val="21"/>
                <w:lang w:val="en-US" w:eastAsia="zh-CN"/>
              </w:rPr>
              <w:t>0.21</w:t>
            </w:r>
          </w:p>
        </w:tc>
        <w:tc>
          <w:tcPr>
            <w:tcW w:w="1604" w:type="dxa"/>
            <w:tcBorders>
              <w:top w:val="nil"/>
              <w:left w:val="single" w:color="000000" w:sz="6" w:space="0"/>
              <w:bottom w:val="nil"/>
              <w:right w:val="single" w:color="000000" w:sz="6" w:space="0"/>
            </w:tcBorders>
            <w:shd w:val="clear" w:color="auto" w:fill="FFFFFF"/>
            <w:noWrap w:val="0"/>
            <w:vAlign w:val="center"/>
          </w:tcPr>
          <w:p w14:paraId="378E58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i w:val="0"/>
                <w:iCs w:val="0"/>
                <w:caps w:val="0"/>
                <w:color w:val="auto"/>
                <w:spacing w:val="0"/>
                <w:sz w:val="21"/>
                <w:szCs w:val="21"/>
                <w:lang w:val="en-US" w:eastAsia="zh-CN"/>
              </w:rPr>
              <w:t>0.17</w:t>
            </w:r>
          </w:p>
        </w:tc>
        <w:tc>
          <w:tcPr>
            <w:tcW w:w="1612" w:type="dxa"/>
            <w:tcBorders>
              <w:top w:val="nil"/>
              <w:left w:val="single" w:color="000000" w:sz="6" w:space="0"/>
              <w:bottom w:val="nil"/>
              <w:right w:val="nil"/>
            </w:tcBorders>
            <w:shd w:val="clear" w:color="auto" w:fill="FFFFFF"/>
            <w:noWrap w:val="0"/>
            <w:vAlign w:val="center"/>
          </w:tcPr>
          <w:p w14:paraId="4B854E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i w:val="0"/>
                <w:iCs w:val="0"/>
                <w:caps w:val="0"/>
                <w:color w:val="auto"/>
                <w:spacing w:val="0"/>
                <w:sz w:val="21"/>
                <w:szCs w:val="21"/>
                <w:lang w:val="en-US" w:eastAsia="zh-CN"/>
              </w:rPr>
              <w:t>0.23</w:t>
            </w:r>
          </w:p>
        </w:tc>
      </w:tr>
      <w:tr w14:paraId="44BC5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3" w:hRule="atLeast"/>
        </w:trPr>
        <w:tc>
          <w:tcPr>
            <w:tcW w:w="4774" w:type="dxa"/>
            <w:tcBorders>
              <w:top w:val="nil"/>
              <w:left w:val="nil"/>
              <w:bottom w:val="single" w:color="000000" w:sz="12" w:space="0"/>
              <w:right w:val="single" w:color="000000" w:sz="6" w:space="0"/>
            </w:tcBorders>
            <w:shd w:val="clear" w:color="auto" w:fill="FFFFFF"/>
            <w:noWrap w:val="0"/>
            <w:vAlign w:val="center"/>
          </w:tcPr>
          <w:p w14:paraId="33C046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rPr>
            </w:pPr>
            <w:r>
              <w:rPr>
                <w:rFonts w:hint="eastAsia" w:ascii="宋体" w:hAnsi="宋体" w:eastAsia="宋体" w:cs="宋体"/>
                <w:i w:val="0"/>
                <w:iCs w:val="0"/>
                <w:caps w:val="0"/>
                <w:color w:val="auto"/>
                <w:spacing w:val="0"/>
                <w:sz w:val="21"/>
                <w:szCs w:val="21"/>
              </w:rPr>
              <w:t>其他服务业</w:t>
            </w:r>
          </w:p>
        </w:tc>
        <w:tc>
          <w:tcPr>
            <w:tcW w:w="1604" w:type="dxa"/>
            <w:tcBorders>
              <w:top w:val="nil"/>
              <w:left w:val="single" w:color="000000" w:sz="6" w:space="0"/>
              <w:bottom w:val="single" w:color="000000" w:sz="12" w:space="0"/>
              <w:right w:val="single" w:color="000000" w:sz="6" w:space="0"/>
            </w:tcBorders>
            <w:shd w:val="clear" w:color="auto" w:fill="FFFFFF"/>
            <w:noWrap w:val="0"/>
            <w:vAlign w:val="center"/>
          </w:tcPr>
          <w:p w14:paraId="7C511B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i w:val="0"/>
                <w:iCs w:val="0"/>
                <w:caps w:val="0"/>
                <w:color w:val="auto"/>
                <w:spacing w:val="0"/>
                <w:sz w:val="21"/>
                <w:szCs w:val="21"/>
                <w:lang w:val="en-US" w:eastAsia="zh-CN"/>
              </w:rPr>
              <w:t>0.06</w:t>
            </w:r>
          </w:p>
        </w:tc>
        <w:tc>
          <w:tcPr>
            <w:tcW w:w="1604" w:type="dxa"/>
            <w:tcBorders>
              <w:top w:val="nil"/>
              <w:left w:val="single" w:color="000000" w:sz="6" w:space="0"/>
              <w:bottom w:val="single" w:color="000000" w:sz="12" w:space="0"/>
              <w:right w:val="single" w:color="000000" w:sz="6" w:space="0"/>
            </w:tcBorders>
            <w:shd w:val="clear" w:color="auto" w:fill="FFFFFF"/>
            <w:noWrap w:val="0"/>
            <w:vAlign w:val="center"/>
          </w:tcPr>
          <w:p w14:paraId="070666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i w:val="0"/>
                <w:iCs w:val="0"/>
                <w:caps w:val="0"/>
                <w:color w:val="auto"/>
                <w:spacing w:val="0"/>
                <w:sz w:val="21"/>
                <w:szCs w:val="21"/>
                <w:lang w:val="en-US" w:eastAsia="zh-CN"/>
              </w:rPr>
              <w:t>0.04</w:t>
            </w:r>
          </w:p>
        </w:tc>
        <w:tc>
          <w:tcPr>
            <w:tcW w:w="1612" w:type="dxa"/>
            <w:tcBorders>
              <w:top w:val="nil"/>
              <w:left w:val="single" w:color="000000" w:sz="6" w:space="0"/>
              <w:bottom w:val="single" w:color="000000" w:sz="12" w:space="0"/>
              <w:right w:val="nil"/>
            </w:tcBorders>
            <w:shd w:val="clear" w:color="auto" w:fill="FFFFFF"/>
            <w:noWrap w:val="0"/>
            <w:vAlign w:val="center"/>
          </w:tcPr>
          <w:p w14:paraId="77254E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i w:val="0"/>
                <w:iCs w:val="0"/>
                <w:caps w:val="0"/>
                <w:color w:val="auto"/>
                <w:spacing w:val="0"/>
                <w:sz w:val="21"/>
                <w:szCs w:val="21"/>
                <w:lang w:val="en-US" w:eastAsia="zh-CN"/>
              </w:rPr>
              <w:t>0.06</w:t>
            </w:r>
          </w:p>
        </w:tc>
      </w:tr>
    </w:tbl>
    <w:p w14:paraId="3025DE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auto"/>
          <w:spacing w:val="0"/>
          <w:sz w:val="24"/>
          <w:szCs w:val="24"/>
        </w:rPr>
      </w:pPr>
      <w:r>
        <w:rPr>
          <w:rFonts w:hint="default" w:ascii="Times New Roman" w:hAnsi="Times New Roman" w:cs="Times New Roman"/>
          <w:i w:val="0"/>
          <w:iCs w:val="0"/>
          <w:caps w:val="0"/>
          <w:color w:val="auto"/>
          <w:spacing w:val="0"/>
          <w:sz w:val="24"/>
          <w:szCs w:val="24"/>
          <w:shd w:val="clear" w:fill="FFFFFF"/>
        </w:rPr>
        <w:t> </w:t>
      </w:r>
    </w:p>
    <w:p w14:paraId="702981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default" w:ascii="Calibri" w:hAnsi="Calibri" w:cs="Calibri"/>
          <w:i w:val="0"/>
          <w:iCs w:val="0"/>
          <w:caps w:val="0"/>
          <w:color w:val="auto"/>
          <w:spacing w:val="0"/>
          <w:sz w:val="24"/>
          <w:szCs w:val="24"/>
        </w:rPr>
      </w:pPr>
      <w:r>
        <w:rPr>
          <w:rFonts w:hint="default" w:ascii="Times New Roman" w:hAnsi="Times New Roman" w:cs="Times New Roman"/>
          <w:i w:val="0"/>
          <w:iCs w:val="0"/>
          <w:caps w:val="0"/>
          <w:color w:val="auto"/>
          <w:spacing w:val="0"/>
          <w:sz w:val="24"/>
          <w:szCs w:val="24"/>
          <w:shd w:val="clear" w:fill="FFFFFF"/>
        </w:rPr>
        <w:t> </w:t>
      </w:r>
    </w:p>
    <w:p w14:paraId="1A6955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宋体" w:hAnsi="宋体" w:eastAsia="宋体" w:cs="宋体"/>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shd w:val="clear" w:color="auto" w:fill="FFFFFF"/>
        </w:rPr>
        <w:t>　</w:t>
      </w:r>
      <w:r>
        <w:rPr>
          <w:rFonts w:hint="eastAsia" w:ascii="黑体" w:hAnsi="黑体" w:eastAsia="黑体" w:cs="黑体"/>
          <w:b w:val="0"/>
          <w:bCs w:val="0"/>
          <w:i w:val="0"/>
          <w:iCs w:val="0"/>
          <w:caps w:val="0"/>
          <w:color w:val="auto"/>
          <w:spacing w:val="0"/>
          <w:sz w:val="32"/>
          <w:szCs w:val="32"/>
          <w:shd w:val="clear" w:color="auto" w:fill="FFFFFF"/>
          <w:lang w:val="en-US" w:eastAsia="zh-CN"/>
        </w:rPr>
        <w:t xml:space="preserve">    </w:t>
      </w:r>
      <w:r>
        <w:rPr>
          <w:rFonts w:hint="eastAsia" w:ascii="黑体" w:hAnsi="黑体" w:eastAsia="黑体" w:cs="黑体"/>
          <w:b w:val="0"/>
          <w:bCs w:val="0"/>
          <w:i w:val="0"/>
          <w:iCs w:val="0"/>
          <w:caps w:val="0"/>
          <w:color w:val="auto"/>
          <w:spacing w:val="0"/>
          <w:sz w:val="32"/>
          <w:szCs w:val="32"/>
          <w:shd w:val="clear" w:color="auto" w:fill="FFFFFF"/>
        </w:rPr>
        <w:t>四、教育</w:t>
      </w:r>
    </w:p>
    <w:p w14:paraId="6910DA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both"/>
        <w:rPr>
          <w:rFonts w:hint="eastAsia" w:ascii="仿宋" w:hAnsi="仿宋" w:eastAsia="仿宋" w:cs="仿宋"/>
          <w:i w:val="0"/>
          <w:iCs w:val="0"/>
          <w:caps w:val="0"/>
          <w:color w:val="auto"/>
          <w:spacing w:val="0"/>
          <w:sz w:val="32"/>
          <w:szCs w:val="32"/>
        </w:rPr>
      </w:pPr>
      <w:r>
        <w:rPr>
          <w:rFonts w:hint="eastAsia" w:ascii="楷体_GB2312" w:hAnsi="楷体_GB2312" w:eastAsia="楷体_GB2312" w:cs="楷体_GB2312"/>
          <w:i w:val="0"/>
          <w:iCs w:val="0"/>
          <w:caps w:val="0"/>
          <w:color w:val="auto"/>
          <w:spacing w:val="0"/>
          <w:sz w:val="32"/>
          <w:szCs w:val="32"/>
          <w:shd w:val="clear" w:color="auto" w:fill="FFFFFF"/>
        </w:rPr>
        <w:t>（一）法人单位数和从业人员</w:t>
      </w:r>
    </w:p>
    <w:p w14:paraId="7C7983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2023年末，</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全县</w:t>
      </w:r>
      <w:r>
        <w:rPr>
          <w:rFonts w:hint="eastAsia" w:ascii="仿宋_GB2312" w:hAnsi="仿宋_GB2312" w:eastAsia="仿宋_GB2312" w:cs="仿宋_GB2312"/>
          <w:i w:val="0"/>
          <w:iCs w:val="0"/>
          <w:caps w:val="0"/>
          <w:color w:val="auto"/>
          <w:spacing w:val="0"/>
          <w:sz w:val="32"/>
          <w:szCs w:val="32"/>
          <w:highlight w:val="none"/>
          <w:shd w:val="clear" w:color="auto" w:fill="FFFFFF"/>
        </w:rPr>
        <w:t>共有教育法人单位</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118</w:t>
      </w:r>
      <w:r>
        <w:rPr>
          <w:rFonts w:hint="eastAsia" w:ascii="仿宋_GB2312" w:hAnsi="仿宋_GB2312" w:eastAsia="仿宋_GB2312" w:cs="仿宋_GB2312"/>
          <w:i w:val="0"/>
          <w:iCs w:val="0"/>
          <w:caps w:val="0"/>
          <w:color w:val="auto"/>
          <w:spacing w:val="0"/>
          <w:sz w:val="32"/>
          <w:szCs w:val="32"/>
          <w:highlight w:val="none"/>
          <w:shd w:val="clear" w:color="auto" w:fill="FFFFFF"/>
        </w:rPr>
        <w:t>个，从业人员</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5846</w:t>
      </w:r>
      <w:r>
        <w:rPr>
          <w:rFonts w:hint="eastAsia" w:ascii="仿宋_GB2312" w:hAnsi="仿宋_GB2312" w:eastAsia="仿宋_GB2312" w:cs="仿宋_GB2312"/>
          <w:i w:val="0"/>
          <w:iCs w:val="0"/>
          <w:caps w:val="0"/>
          <w:color w:val="auto"/>
          <w:spacing w:val="0"/>
          <w:sz w:val="32"/>
          <w:szCs w:val="32"/>
          <w:highlight w:val="none"/>
          <w:shd w:val="clear" w:color="auto" w:fill="FFFFFF"/>
        </w:rPr>
        <w:t>人，分别比2018年末</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增长</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18.0</w:t>
      </w:r>
      <w:r>
        <w:rPr>
          <w:rFonts w:hint="eastAsia" w:ascii="仿宋_GB2312" w:hAnsi="仿宋_GB2312" w:eastAsia="仿宋_GB2312" w:cs="仿宋_GB2312"/>
          <w:i w:val="0"/>
          <w:iCs w:val="0"/>
          <w:caps w:val="0"/>
          <w:color w:val="auto"/>
          <w:spacing w:val="0"/>
          <w:sz w:val="32"/>
          <w:szCs w:val="32"/>
          <w:highlight w:val="none"/>
          <w:shd w:val="clear" w:color="auto" w:fill="FFFFFF"/>
        </w:rPr>
        <w:t>%</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和</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13.5</w:t>
      </w:r>
      <w:r>
        <w:rPr>
          <w:rFonts w:hint="eastAsia" w:ascii="仿宋_GB2312" w:hAnsi="仿宋_GB2312" w:eastAsia="仿宋_GB2312" w:cs="仿宋_GB2312"/>
          <w:i w:val="0"/>
          <w:iCs w:val="0"/>
          <w:caps w:val="0"/>
          <w:color w:val="auto"/>
          <w:spacing w:val="0"/>
          <w:sz w:val="32"/>
          <w:szCs w:val="32"/>
          <w:highlight w:val="none"/>
          <w:shd w:val="clear" w:color="auto" w:fill="FFFFFF"/>
        </w:rPr>
        <w:t>%。</w:t>
      </w:r>
      <w:r>
        <w:rPr>
          <w:rFonts w:hint="eastAsia" w:ascii="仿宋_GB2312" w:hAnsi="仿宋_GB2312" w:eastAsia="仿宋_GB2312" w:cs="仿宋_GB2312"/>
          <w:i w:val="0"/>
          <w:iCs w:val="0"/>
          <w:caps w:val="0"/>
          <w:color w:val="auto"/>
          <w:spacing w:val="0"/>
          <w:sz w:val="32"/>
          <w:szCs w:val="32"/>
          <w:highlight w:val="none"/>
          <w:shd w:val="clear" w:fill="FFFFFF"/>
        </w:rPr>
        <w:t>其中，行政事业及非企业法人单位</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95</w:t>
      </w:r>
      <w:r>
        <w:rPr>
          <w:rFonts w:hint="eastAsia" w:ascii="仿宋_GB2312" w:hAnsi="仿宋_GB2312" w:eastAsia="仿宋_GB2312" w:cs="仿宋_GB2312"/>
          <w:i w:val="0"/>
          <w:iCs w:val="0"/>
          <w:caps w:val="0"/>
          <w:color w:val="auto"/>
          <w:spacing w:val="0"/>
          <w:sz w:val="32"/>
          <w:szCs w:val="32"/>
          <w:highlight w:val="none"/>
          <w:shd w:val="clear" w:fill="FFFFFF"/>
        </w:rPr>
        <w:t>个，从业人员</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5621</w:t>
      </w:r>
      <w:r>
        <w:rPr>
          <w:rFonts w:hint="eastAsia" w:ascii="仿宋_GB2312" w:hAnsi="仿宋_GB2312" w:eastAsia="仿宋_GB2312" w:cs="仿宋_GB2312"/>
          <w:i w:val="0"/>
          <w:iCs w:val="0"/>
          <w:caps w:val="0"/>
          <w:color w:val="auto"/>
          <w:spacing w:val="0"/>
          <w:sz w:val="32"/>
          <w:szCs w:val="32"/>
          <w:highlight w:val="none"/>
          <w:shd w:val="clear" w:fill="FFFFFF"/>
        </w:rPr>
        <w:t>人，分别比2018年末增长</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8.0</w:t>
      </w:r>
      <w:r>
        <w:rPr>
          <w:rFonts w:hint="eastAsia" w:ascii="仿宋_GB2312" w:hAnsi="仿宋_GB2312" w:eastAsia="仿宋_GB2312" w:cs="仿宋_GB2312"/>
          <w:i w:val="0"/>
          <w:iCs w:val="0"/>
          <w:caps w:val="0"/>
          <w:color w:val="auto"/>
          <w:spacing w:val="0"/>
          <w:sz w:val="32"/>
          <w:szCs w:val="32"/>
          <w:highlight w:val="none"/>
          <w:shd w:val="clear" w:fill="FFFFFF"/>
        </w:rPr>
        <w:t>%和</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15.6</w:t>
      </w:r>
      <w:r>
        <w:rPr>
          <w:rFonts w:hint="eastAsia" w:ascii="仿宋_GB2312" w:hAnsi="仿宋_GB2312" w:eastAsia="仿宋_GB2312" w:cs="仿宋_GB2312"/>
          <w:i w:val="0"/>
          <w:iCs w:val="0"/>
          <w:caps w:val="0"/>
          <w:color w:val="auto"/>
          <w:spacing w:val="0"/>
          <w:sz w:val="32"/>
          <w:szCs w:val="32"/>
          <w:highlight w:val="none"/>
          <w:shd w:val="clear" w:fill="FFFFFF"/>
        </w:rPr>
        <w:t>%。</w:t>
      </w:r>
    </w:p>
    <w:p w14:paraId="10DF993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仿宋" w:hAnsi="仿宋" w:eastAsia="仿宋" w:cs="仿宋"/>
          <w:i w:val="0"/>
          <w:iCs w:val="0"/>
          <w:caps w:val="0"/>
          <w:color w:val="auto"/>
          <w:spacing w:val="0"/>
          <w:sz w:val="32"/>
          <w:szCs w:val="32"/>
          <w:shd w:val="clear" w:color="auto" w:fill="FFFFFF"/>
        </w:rPr>
      </w:pPr>
      <w:r>
        <w:rPr>
          <w:rFonts w:hint="eastAsia" w:ascii="仿宋" w:hAnsi="仿宋" w:eastAsia="仿宋" w:cs="仿宋"/>
          <w:i w:val="0"/>
          <w:iCs w:val="0"/>
          <w:caps w:val="0"/>
          <w:color w:val="auto"/>
          <w:spacing w:val="0"/>
          <w:sz w:val="32"/>
          <w:szCs w:val="32"/>
          <w:shd w:val="clear" w:fill="FFFFFF"/>
        </w:rPr>
        <w:t> 　</w:t>
      </w:r>
      <w:r>
        <w:rPr>
          <w:rFonts w:hint="eastAsia" w:ascii="楷体_GB2312" w:hAnsi="楷体_GB2312" w:eastAsia="楷体_GB2312" w:cs="楷体_GB2312"/>
          <w:i w:val="0"/>
          <w:iCs w:val="0"/>
          <w:caps w:val="0"/>
          <w:color w:val="auto"/>
          <w:spacing w:val="0"/>
          <w:sz w:val="32"/>
          <w:szCs w:val="32"/>
          <w:shd w:val="clear" w:color="auto" w:fill="FFFFFF"/>
        </w:rPr>
        <w:t>（二）主要经济指标</w:t>
      </w:r>
    </w:p>
    <w:p w14:paraId="4F3BF2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both"/>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2023年末，教育企业法人单位资产总计</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0.80亿</w:t>
      </w:r>
      <w:r>
        <w:rPr>
          <w:rFonts w:hint="eastAsia" w:ascii="仿宋_GB2312" w:hAnsi="仿宋_GB2312" w:eastAsia="仿宋_GB2312" w:cs="仿宋_GB2312"/>
          <w:i w:val="0"/>
          <w:iCs w:val="0"/>
          <w:caps w:val="0"/>
          <w:color w:val="auto"/>
          <w:spacing w:val="0"/>
          <w:sz w:val="32"/>
          <w:szCs w:val="32"/>
          <w:highlight w:val="none"/>
          <w:shd w:val="clear" w:color="auto" w:fill="FFFFFF"/>
        </w:rPr>
        <w:t>元，比2018年末增长</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18.0</w:t>
      </w:r>
      <w:r>
        <w:rPr>
          <w:rFonts w:hint="eastAsia" w:ascii="仿宋_GB2312" w:hAnsi="仿宋_GB2312" w:eastAsia="仿宋_GB2312" w:cs="仿宋_GB2312"/>
          <w:i w:val="0"/>
          <w:iCs w:val="0"/>
          <w:caps w:val="0"/>
          <w:color w:val="auto"/>
          <w:spacing w:val="0"/>
          <w:sz w:val="32"/>
          <w:szCs w:val="32"/>
          <w:highlight w:val="none"/>
          <w:shd w:val="clear" w:color="auto" w:fill="FFFFFF"/>
        </w:rPr>
        <w:t>%；负债合计</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0.75亿</w:t>
      </w:r>
      <w:r>
        <w:rPr>
          <w:rFonts w:hint="eastAsia" w:ascii="仿宋_GB2312" w:hAnsi="仿宋_GB2312" w:eastAsia="仿宋_GB2312" w:cs="仿宋_GB2312"/>
          <w:i w:val="0"/>
          <w:iCs w:val="0"/>
          <w:caps w:val="0"/>
          <w:color w:val="auto"/>
          <w:spacing w:val="0"/>
          <w:sz w:val="32"/>
          <w:szCs w:val="32"/>
          <w:highlight w:val="none"/>
          <w:shd w:val="clear" w:color="auto" w:fill="FFFFFF"/>
        </w:rPr>
        <w:t>元，比2018年末增长</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17.2</w:t>
      </w:r>
      <w:r>
        <w:rPr>
          <w:rFonts w:hint="eastAsia" w:ascii="仿宋_GB2312" w:hAnsi="仿宋_GB2312" w:eastAsia="仿宋_GB2312" w:cs="仿宋_GB2312"/>
          <w:i w:val="0"/>
          <w:iCs w:val="0"/>
          <w:caps w:val="0"/>
          <w:color w:val="auto"/>
          <w:spacing w:val="0"/>
          <w:sz w:val="32"/>
          <w:szCs w:val="32"/>
          <w:highlight w:val="none"/>
          <w:shd w:val="clear" w:color="auto" w:fill="FFFFFF"/>
        </w:rPr>
        <w:t>%。全年实现营业收入</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0.23亿</w:t>
      </w:r>
      <w:r>
        <w:rPr>
          <w:rFonts w:hint="eastAsia" w:ascii="仿宋_GB2312" w:hAnsi="仿宋_GB2312" w:eastAsia="仿宋_GB2312" w:cs="仿宋_GB2312"/>
          <w:i w:val="0"/>
          <w:iCs w:val="0"/>
          <w:caps w:val="0"/>
          <w:color w:val="auto"/>
          <w:spacing w:val="0"/>
          <w:sz w:val="32"/>
          <w:szCs w:val="32"/>
          <w:highlight w:val="none"/>
          <w:shd w:val="clear" w:color="auto" w:fill="FFFFFF"/>
        </w:rPr>
        <w:t>元，比2018年</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下降</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24.2</w:t>
      </w:r>
      <w:r>
        <w:rPr>
          <w:rFonts w:hint="eastAsia" w:ascii="仿宋_GB2312" w:hAnsi="仿宋_GB2312" w:eastAsia="仿宋_GB2312" w:cs="仿宋_GB2312"/>
          <w:i w:val="0"/>
          <w:iCs w:val="0"/>
          <w:caps w:val="0"/>
          <w:color w:val="auto"/>
          <w:spacing w:val="0"/>
          <w:sz w:val="32"/>
          <w:szCs w:val="32"/>
          <w:highlight w:val="none"/>
          <w:shd w:val="clear" w:color="auto" w:fill="FFFFFF"/>
        </w:rPr>
        <w:t>%。</w:t>
      </w:r>
    </w:p>
    <w:p w14:paraId="316F09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rPr>
        <w:t>行政事业及非企业法人单位年末资产13</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w:t>
      </w:r>
      <w:r>
        <w:rPr>
          <w:rFonts w:hint="eastAsia" w:ascii="仿宋_GB2312" w:hAnsi="仿宋_GB2312" w:eastAsia="仿宋_GB2312" w:cs="仿宋_GB2312"/>
          <w:i w:val="0"/>
          <w:iCs w:val="0"/>
          <w:caps w:val="0"/>
          <w:color w:val="auto"/>
          <w:spacing w:val="0"/>
          <w:sz w:val="32"/>
          <w:szCs w:val="32"/>
          <w:highlight w:val="none"/>
          <w:shd w:val="clear" w:fill="FFFFFF"/>
        </w:rPr>
        <w:t>87</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亿</w:t>
      </w:r>
      <w:r>
        <w:rPr>
          <w:rFonts w:hint="eastAsia" w:ascii="仿宋_GB2312" w:hAnsi="仿宋_GB2312" w:eastAsia="仿宋_GB2312" w:cs="仿宋_GB2312"/>
          <w:i w:val="0"/>
          <w:iCs w:val="0"/>
          <w:caps w:val="0"/>
          <w:color w:val="auto"/>
          <w:spacing w:val="0"/>
          <w:sz w:val="32"/>
          <w:szCs w:val="32"/>
          <w:highlight w:val="none"/>
          <w:shd w:val="clear" w:fill="FFFFFF"/>
        </w:rPr>
        <w:t>元，比2018年末增长82.3%。本年支出（费用）合计10</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w:t>
      </w:r>
      <w:r>
        <w:rPr>
          <w:rFonts w:hint="eastAsia" w:ascii="仿宋_GB2312" w:hAnsi="仿宋_GB2312" w:eastAsia="仿宋_GB2312" w:cs="仿宋_GB2312"/>
          <w:i w:val="0"/>
          <w:iCs w:val="0"/>
          <w:caps w:val="0"/>
          <w:color w:val="auto"/>
          <w:spacing w:val="0"/>
          <w:sz w:val="32"/>
          <w:szCs w:val="32"/>
          <w:highlight w:val="none"/>
          <w:shd w:val="clear" w:fill="FFFFFF"/>
        </w:rPr>
        <w:t>4</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1亿</w:t>
      </w:r>
      <w:r>
        <w:rPr>
          <w:rFonts w:hint="eastAsia" w:ascii="仿宋_GB2312" w:hAnsi="仿宋_GB2312" w:eastAsia="仿宋_GB2312" w:cs="仿宋_GB2312"/>
          <w:i w:val="0"/>
          <w:iCs w:val="0"/>
          <w:caps w:val="0"/>
          <w:color w:val="auto"/>
          <w:spacing w:val="0"/>
          <w:sz w:val="32"/>
          <w:szCs w:val="32"/>
          <w:highlight w:val="none"/>
          <w:shd w:val="clear" w:fill="FFFFFF"/>
        </w:rPr>
        <w:t>元。</w:t>
      </w:r>
    </w:p>
    <w:p w14:paraId="432DA9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黑体" w:hAnsi="黑体" w:eastAsia="黑体" w:cs="黑体"/>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shd w:val="clear" w:color="auto" w:fill="FFFFFF"/>
        </w:rPr>
        <w:t>五、卫生和社会工作</w:t>
      </w:r>
    </w:p>
    <w:p w14:paraId="165F50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仿宋" w:hAnsi="仿宋" w:eastAsia="仿宋" w:cs="仿宋"/>
          <w:i w:val="0"/>
          <w:iCs w:val="0"/>
          <w:caps w:val="0"/>
          <w:color w:val="auto"/>
          <w:spacing w:val="0"/>
          <w:sz w:val="32"/>
          <w:szCs w:val="32"/>
        </w:rPr>
      </w:pPr>
      <w:r>
        <w:rPr>
          <w:rFonts w:hint="eastAsia" w:ascii="宋体" w:hAnsi="宋体" w:eastAsia="宋体" w:cs="宋体"/>
          <w:b/>
          <w:bCs/>
          <w:i w:val="0"/>
          <w:iCs w:val="0"/>
          <w:caps w:val="0"/>
          <w:color w:val="auto"/>
          <w:spacing w:val="0"/>
          <w:sz w:val="32"/>
          <w:szCs w:val="32"/>
          <w:shd w:val="clear" w:color="auto" w:fill="FFFFFF"/>
        </w:rPr>
        <w:t> </w:t>
      </w:r>
      <w:r>
        <w:rPr>
          <w:rFonts w:hint="eastAsia" w:ascii="宋体" w:hAnsi="宋体" w:eastAsia="宋体" w:cs="宋体"/>
          <w:i w:val="0"/>
          <w:iCs w:val="0"/>
          <w:caps w:val="0"/>
          <w:color w:val="auto"/>
          <w:spacing w:val="0"/>
          <w:sz w:val="32"/>
          <w:szCs w:val="32"/>
          <w:shd w:val="clear" w:color="auto" w:fill="FFFFFF"/>
        </w:rPr>
        <w:t>　</w:t>
      </w:r>
      <w:r>
        <w:rPr>
          <w:rFonts w:hint="eastAsia" w:ascii="楷体_GB2312" w:hAnsi="楷体_GB2312" w:eastAsia="楷体_GB2312" w:cs="楷体_GB2312"/>
          <w:i w:val="0"/>
          <w:iCs w:val="0"/>
          <w:caps w:val="0"/>
          <w:color w:val="auto"/>
          <w:spacing w:val="0"/>
          <w:sz w:val="32"/>
          <w:szCs w:val="32"/>
          <w:shd w:val="clear" w:fill="FFFFFF"/>
        </w:rPr>
        <w:t>（一）法人单位数和从业人员</w:t>
      </w:r>
    </w:p>
    <w:p w14:paraId="49ADB3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2023年末，</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全县</w:t>
      </w:r>
      <w:r>
        <w:rPr>
          <w:rFonts w:hint="eastAsia" w:ascii="仿宋_GB2312" w:hAnsi="仿宋_GB2312" w:eastAsia="仿宋_GB2312" w:cs="仿宋_GB2312"/>
          <w:i w:val="0"/>
          <w:iCs w:val="0"/>
          <w:caps w:val="0"/>
          <w:color w:val="auto"/>
          <w:spacing w:val="0"/>
          <w:sz w:val="32"/>
          <w:szCs w:val="32"/>
          <w:highlight w:val="none"/>
          <w:shd w:val="clear" w:color="auto" w:fill="FFFFFF"/>
        </w:rPr>
        <w:t>共有卫生和社会工作法人单位</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42</w:t>
      </w:r>
      <w:r>
        <w:rPr>
          <w:rFonts w:hint="eastAsia" w:ascii="仿宋_GB2312" w:hAnsi="仿宋_GB2312" w:eastAsia="仿宋_GB2312" w:cs="仿宋_GB2312"/>
          <w:i w:val="0"/>
          <w:iCs w:val="0"/>
          <w:caps w:val="0"/>
          <w:color w:val="auto"/>
          <w:spacing w:val="0"/>
          <w:sz w:val="32"/>
          <w:szCs w:val="32"/>
          <w:highlight w:val="none"/>
          <w:shd w:val="clear" w:color="auto" w:fill="FFFFFF"/>
        </w:rPr>
        <w:t>个，从业人员</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2765</w:t>
      </w:r>
      <w:r>
        <w:rPr>
          <w:rFonts w:hint="eastAsia" w:ascii="仿宋_GB2312" w:hAnsi="仿宋_GB2312" w:eastAsia="仿宋_GB2312" w:cs="仿宋_GB2312"/>
          <w:i w:val="0"/>
          <w:iCs w:val="0"/>
          <w:caps w:val="0"/>
          <w:color w:val="auto"/>
          <w:spacing w:val="0"/>
          <w:sz w:val="32"/>
          <w:szCs w:val="32"/>
          <w:highlight w:val="none"/>
          <w:shd w:val="clear" w:color="auto" w:fill="FFFFFF"/>
        </w:rPr>
        <w:t>人，分别比2018年末</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增长</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55.6</w:t>
      </w:r>
      <w:r>
        <w:rPr>
          <w:rFonts w:hint="eastAsia" w:ascii="仿宋_GB2312" w:hAnsi="仿宋_GB2312" w:eastAsia="仿宋_GB2312" w:cs="仿宋_GB2312"/>
          <w:i w:val="0"/>
          <w:iCs w:val="0"/>
          <w:caps w:val="0"/>
          <w:color w:val="auto"/>
          <w:spacing w:val="0"/>
          <w:sz w:val="32"/>
          <w:szCs w:val="32"/>
          <w:highlight w:val="none"/>
          <w:shd w:val="clear" w:color="auto" w:fill="FFFFFF"/>
        </w:rPr>
        <w:t>%和</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22.5</w:t>
      </w:r>
      <w:r>
        <w:rPr>
          <w:rFonts w:hint="eastAsia" w:ascii="仿宋_GB2312" w:hAnsi="仿宋_GB2312" w:eastAsia="仿宋_GB2312" w:cs="仿宋_GB2312"/>
          <w:i w:val="0"/>
          <w:iCs w:val="0"/>
          <w:caps w:val="0"/>
          <w:color w:val="auto"/>
          <w:spacing w:val="0"/>
          <w:sz w:val="32"/>
          <w:szCs w:val="32"/>
          <w:highlight w:val="none"/>
          <w:shd w:val="clear" w:color="auto" w:fill="FFFFFF"/>
        </w:rPr>
        <w:t>%。</w:t>
      </w:r>
      <w:r>
        <w:rPr>
          <w:rFonts w:hint="eastAsia" w:ascii="仿宋_GB2312" w:hAnsi="仿宋_GB2312" w:eastAsia="仿宋_GB2312" w:cs="仿宋_GB2312"/>
          <w:i w:val="0"/>
          <w:iCs w:val="0"/>
          <w:caps w:val="0"/>
          <w:color w:val="auto"/>
          <w:spacing w:val="0"/>
          <w:sz w:val="32"/>
          <w:szCs w:val="32"/>
          <w:highlight w:val="none"/>
          <w:shd w:val="clear" w:fill="FFFFFF"/>
        </w:rPr>
        <w:t>其中，行政事业及非企业法人单位28个，比2018年末增长12.0%；从业人员2565人，增长14.0%。</w:t>
      </w:r>
    </w:p>
    <w:p w14:paraId="29F28C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楷体_GB2312" w:hAnsi="楷体_GB2312" w:eastAsia="楷体_GB2312" w:cs="楷体_GB2312"/>
          <w:i w:val="0"/>
          <w:iCs w:val="0"/>
          <w:caps w:val="0"/>
          <w:color w:val="auto"/>
          <w:spacing w:val="0"/>
          <w:sz w:val="32"/>
          <w:szCs w:val="32"/>
          <w:shd w:val="clear" w:fill="FFFFFF"/>
        </w:rPr>
        <w:t>（二）主要经济指标</w:t>
      </w:r>
    </w:p>
    <w:p w14:paraId="2E507A6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both"/>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2023年末，卫生和社会工作企业法人单位资产总计</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0.26亿</w:t>
      </w:r>
      <w:r>
        <w:rPr>
          <w:rFonts w:hint="eastAsia" w:ascii="仿宋_GB2312" w:hAnsi="仿宋_GB2312" w:eastAsia="仿宋_GB2312" w:cs="仿宋_GB2312"/>
          <w:i w:val="0"/>
          <w:iCs w:val="0"/>
          <w:caps w:val="0"/>
          <w:color w:val="auto"/>
          <w:spacing w:val="0"/>
          <w:sz w:val="32"/>
          <w:szCs w:val="32"/>
          <w:highlight w:val="none"/>
          <w:shd w:val="clear" w:color="auto" w:fill="FFFFFF"/>
        </w:rPr>
        <w:t>元，比2018年末增长</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3278.1</w:t>
      </w:r>
      <w:r>
        <w:rPr>
          <w:rFonts w:hint="eastAsia" w:ascii="仿宋_GB2312" w:hAnsi="仿宋_GB2312" w:eastAsia="仿宋_GB2312" w:cs="仿宋_GB2312"/>
          <w:i w:val="0"/>
          <w:iCs w:val="0"/>
          <w:caps w:val="0"/>
          <w:color w:val="auto"/>
          <w:spacing w:val="0"/>
          <w:sz w:val="32"/>
          <w:szCs w:val="32"/>
          <w:highlight w:val="none"/>
          <w:shd w:val="clear" w:color="auto" w:fill="FFFFFF"/>
        </w:rPr>
        <w:t>%；负债合计</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0.21亿</w:t>
      </w:r>
      <w:r>
        <w:rPr>
          <w:rFonts w:hint="eastAsia" w:ascii="仿宋_GB2312" w:hAnsi="仿宋_GB2312" w:eastAsia="仿宋_GB2312" w:cs="仿宋_GB2312"/>
          <w:i w:val="0"/>
          <w:iCs w:val="0"/>
          <w:caps w:val="0"/>
          <w:color w:val="auto"/>
          <w:spacing w:val="0"/>
          <w:sz w:val="32"/>
          <w:szCs w:val="32"/>
          <w:highlight w:val="none"/>
          <w:shd w:val="clear" w:color="auto" w:fill="FFFFFF"/>
        </w:rPr>
        <w:t>元。全年实现营业收入</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0.42亿</w:t>
      </w:r>
      <w:r>
        <w:rPr>
          <w:rFonts w:hint="eastAsia" w:ascii="仿宋_GB2312" w:hAnsi="仿宋_GB2312" w:eastAsia="仿宋_GB2312" w:cs="仿宋_GB2312"/>
          <w:i w:val="0"/>
          <w:iCs w:val="0"/>
          <w:caps w:val="0"/>
          <w:color w:val="auto"/>
          <w:spacing w:val="0"/>
          <w:sz w:val="32"/>
          <w:szCs w:val="32"/>
          <w:highlight w:val="none"/>
          <w:shd w:val="clear" w:color="auto" w:fill="FFFFFF"/>
        </w:rPr>
        <w:t>元，比2018年增长</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7529.1</w:t>
      </w:r>
      <w:r>
        <w:rPr>
          <w:rFonts w:hint="eastAsia" w:ascii="仿宋_GB2312" w:hAnsi="仿宋_GB2312" w:eastAsia="仿宋_GB2312" w:cs="仿宋_GB2312"/>
          <w:i w:val="0"/>
          <w:iCs w:val="0"/>
          <w:caps w:val="0"/>
          <w:color w:val="auto"/>
          <w:spacing w:val="0"/>
          <w:sz w:val="32"/>
          <w:szCs w:val="32"/>
          <w:highlight w:val="none"/>
          <w:shd w:val="clear" w:color="auto" w:fill="FFFFFF"/>
        </w:rPr>
        <w:t>%。</w:t>
      </w:r>
    </w:p>
    <w:p w14:paraId="23CC6B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rPr>
        <w:t>行政事业及非企业法人单位年末资产15</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w:t>
      </w:r>
      <w:r>
        <w:rPr>
          <w:rFonts w:hint="eastAsia" w:ascii="仿宋_GB2312" w:hAnsi="仿宋_GB2312" w:eastAsia="仿宋_GB2312" w:cs="仿宋_GB2312"/>
          <w:i w:val="0"/>
          <w:iCs w:val="0"/>
          <w:caps w:val="0"/>
          <w:color w:val="auto"/>
          <w:spacing w:val="0"/>
          <w:sz w:val="32"/>
          <w:szCs w:val="32"/>
          <w:highlight w:val="none"/>
          <w:shd w:val="clear" w:fill="FFFFFF"/>
        </w:rPr>
        <w:t>11</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亿</w:t>
      </w:r>
      <w:r>
        <w:rPr>
          <w:rFonts w:hint="eastAsia" w:ascii="仿宋_GB2312" w:hAnsi="仿宋_GB2312" w:eastAsia="仿宋_GB2312" w:cs="仿宋_GB2312"/>
          <w:i w:val="0"/>
          <w:iCs w:val="0"/>
          <w:caps w:val="0"/>
          <w:color w:val="auto"/>
          <w:spacing w:val="0"/>
          <w:sz w:val="32"/>
          <w:szCs w:val="32"/>
          <w:highlight w:val="none"/>
          <w:shd w:val="clear" w:fill="FFFFFF"/>
        </w:rPr>
        <w:t>元，比2018年末增长161.0%。本年支出（费用）合计6</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w:t>
      </w:r>
      <w:r>
        <w:rPr>
          <w:rFonts w:hint="eastAsia" w:ascii="仿宋_GB2312" w:hAnsi="仿宋_GB2312" w:eastAsia="仿宋_GB2312" w:cs="仿宋_GB2312"/>
          <w:i w:val="0"/>
          <w:iCs w:val="0"/>
          <w:caps w:val="0"/>
          <w:color w:val="auto"/>
          <w:spacing w:val="0"/>
          <w:sz w:val="32"/>
          <w:szCs w:val="32"/>
          <w:highlight w:val="none"/>
          <w:shd w:val="clear" w:fill="FFFFFF"/>
        </w:rPr>
        <w:t>64</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亿</w:t>
      </w:r>
      <w:r>
        <w:rPr>
          <w:rFonts w:hint="eastAsia" w:ascii="仿宋_GB2312" w:hAnsi="仿宋_GB2312" w:eastAsia="仿宋_GB2312" w:cs="仿宋_GB2312"/>
          <w:i w:val="0"/>
          <w:iCs w:val="0"/>
          <w:caps w:val="0"/>
          <w:color w:val="auto"/>
          <w:spacing w:val="0"/>
          <w:sz w:val="32"/>
          <w:szCs w:val="32"/>
          <w:highlight w:val="none"/>
          <w:shd w:val="clear" w:fill="FFFFFF"/>
        </w:rPr>
        <w:t>元。</w:t>
      </w:r>
    </w:p>
    <w:p w14:paraId="1330E4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firstLineChars="300"/>
        <w:jc w:val="both"/>
        <w:rPr>
          <w:rFonts w:hint="eastAsia" w:ascii="黑体" w:hAnsi="黑体" w:eastAsia="黑体" w:cs="黑体"/>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shd w:val="clear" w:fill="FFFFFF"/>
        </w:rPr>
        <w:t>六、文化、体育和娱乐业</w:t>
      </w:r>
    </w:p>
    <w:p w14:paraId="134683D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sz w:val="32"/>
          <w:szCs w:val="32"/>
        </w:rPr>
      </w:pPr>
      <w:r>
        <w:rPr>
          <w:rFonts w:hint="eastAsia" w:asciiTheme="minorEastAsia" w:hAnsiTheme="minorEastAsia" w:eastAsiaTheme="minorEastAsia" w:cstheme="minorEastAsia"/>
          <w:b/>
          <w:bCs/>
          <w:i w:val="0"/>
          <w:iCs w:val="0"/>
          <w:caps w:val="0"/>
          <w:color w:val="auto"/>
          <w:spacing w:val="0"/>
          <w:sz w:val="32"/>
          <w:szCs w:val="32"/>
          <w:shd w:val="clear" w:fill="FFFFFF"/>
        </w:rPr>
        <w:t> </w:t>
      </w:r>
      <w:r>
        <w:rPr>
          <w:rFonts w:hint="eastAsia" w:asciiTheme="minorEastAsia" w:hAnsiTheme="minorEastAsia" w:eastAsiaTheme="minorEastAsia" w:cstheme="minorEastAsia"/>
          <w:i w:val="0"/>
          <w:iCs w:val="0"/>
          <w:caps w:val="0"/>
          <w:color w:val="auto"/>
          <w:spacing w:val="0"/>
          <w:sz w:val="32"/>
          <w:szCs w:val="32"/>
          <w:shd w:val="clear" w:fill="FFFFFF"/>
        </w:rPr>
        <w:t>　　</w:t>
      </w:r>
      <w:r>
        <w:rPr>
          <w:rFonts w:hint="eastAsia" w:ascii="楷体_GB2312" w:hAnsi="楷体_GB2312" w:eastAsia="楷体_GB2312" w:cs="楷体_GB2312"/>
          <w:i w:val="0"/>
          <w:iCs w:val="0"/>
          <w:caps w:val="0"/>
          <w:color w:val="auto"/>
          <w:spacing w:val="0"/>
          <w:sz w:val="32"/>
          <w:szCs w:val="32"/>
          <w:shd w:val="clear" w:fill="FFFFFF"/>
        </w:rPr>
        <w:t>（一）法人单位数和从业人员</w:t>
      </w:r>
    </w:p>
    <w:p w14:paraId="4B00B9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 w:hAnsi="仿宋" w:eastAsia="仿宋" w:cs="仿宋"/>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highlight w:val="none"/>
          <w:shd w:val="clear" w:fill="FFFFFF"/>
        </w:rPr>
        <w:t>2023年末，全</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县</w:t>
      </w:r>
      <w:r>
        <w:rPr>
          <w:rFonts w:hint="eastAsia" w:ascii="仿宋_GB2312" w:hAnsi="仿宋_GB2312" w:eastAsia="仿宋_GB2312" w:cs="仿宋_GB2312"/>
          <w:i w:val="0"/>
          <w:iCs w:val="0"/>
          <w:caps w:val="0"/>
          <w:color w:val="auto"/>
          <w:spacing w:val="0"/>
          <w:sz w:val="32"/>
          <w:szCs w:val="32"/>
          <w:highlight w:val="none"/>
          <w:shd w:val="clear" w:fill="FFFFFF"/>
        </w:rPr>
        <w:t>共有文化、体育和娱乐业法人单位</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50</w:t>
      </w:r>
      <w:r>
        <w:rPr>
          <w:rFonts w:hint="eastAsia" w:ascii="仿宋_GB2312" w:hAnsi="仿宋_GB2312" w:eastAsia="仿宋_GB2312" w:cs="仿宋_GB2312"/>
          <w:i w:val="0"/>
          <w:iCs w:val="0"/>
          <w:caps w:val="0"/>
          <w:color w:val="auto"/>
          <w:spacing w:val="0"/>
          <w:sz w:val="32"/>
          <w:szCs w:val="32"/>
          <w:highlight w:val="none"/>
          <w:shd w:val="clear" w:fill="FFFFFF"/>
        </w:rPr>
        <w:t>个，从业人员</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443</w:t>
      </w:r>
      <w:r>
        <w:rPr>
          <w:rFonts w:hint="eastAsia" w:ascii="仿宋_GB2312" w:hAnsi="仿宋_GB2312" w:eastAsia="仿宋_GB2312" w:cs="仿宋_GB2312"/>
          <w:i w:val="0"/>
          <w:iCs w:val="0"/>
          <w:caps w:val="0"/>
          <w:color w:val="auto"/>
          <w:spacing w:val="0"/>
          <w:sz w:val="32"/>
          <w:szCs w:val="32"/>
          <w:highlight w:val="none"/>
          <w:shd w:val="clear" w:fill="FFFFFF"/>
        </w:rPr>
        <w:t>人，分别比2018年末增长</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22.0</w:t>
      </w:r>
      <w:r>
        <w:rPr>
          <w:rFonts w:hint="eastAsia" w:ascii="仿宋_GB2312" w:hAnsi="仿宋_GB2312" w:eastAsia="仿宋_GB2312" w:cs="仿宋_GB2312"/>
          <w:i w:val="0"/>
          <w:iCs w:val="0"/>
          <w:caps w:val="0"/>
          <w:color w:val="auto"/>
          <w:spacing w:val="0"/>
          <w:sz w:val="32"/>
          <w:szCs w:val="32"/>
          <w:highlight w:val="none"/>
          <w:shd w:val="clear" w:fill="FFFFFF"/>
        </w:rPr>
        <w:t>%和</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80.8</w:t>
      </w:r>
      <w:r>
        <w:rPr>
          <w:rFonts w:hint="eastAsia" w:ascii="仿宋_GB2312" w:hAnsi="仿宋_GB2312" w:eastAsia="仿宋_GB2312" w:cs="仿宋_GB2312"/>
          <w:i w:val="0"/>
          <w:iCs w:val="0"/>
          <w:caps w:val="0"/>
          <w:color w:val="auto"/>
          <w:spacing w:val="0"/>
          <w:sz w:val="32"/>
          <w:szCs w:val="32"/>
          <w:highlight w:val="none"/>
          <w:shd w:val="clear" w:fill="FFFFFF"/>
        </w:rPr>
        <w:t>%。其中，企业法人单位</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43</w:t>
      </w:r>
      <w:r>
        <w:rPr>
          <w:rFonts w:hint="eastAsia" w:ascii="仿宋_GB2312" w:hAnsi="仿宋_GB2312" w:eastAsia="仿宋_GB2312" w:cs="仿宋_GB2312"/>
          <w:i w:val="0"/>
          <w:iCs w:val="0"/>
          <w:caps w:val="0"/>
          <w:color w:val="auto"/>
          <w:spacing w:val="0"/>
          <w:sz w:val="32"/>
          <w:szCs w:val="32"/>
          <w:highlight w:val="none"/>
          <w:shd w:val="clear" w:color="auto" w:fill="FFFFFF"/>
        </w:rPr>
        <w:t>个，从业人员</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361</w:t>
      </w:r>
      <w:r>
        <w:rPr>
          <w:rFonts w:hint="eastAsia" w:ascii="仿宋_GB2312" w:hAnsi="仿宋_GB2312" w:eastAsia="仿宋_GB2312" w:cs="仿宋_GB2312"/>
          <w:i w:val="0"/>
          <w:iCs w:val="0"/>
          <w:caps w:val="0"/>
          <w:color w:val="auto"/>
          <w:spacing w:val="0"/>
          <w:sz w:val="32"/>
          <w:szCs w:val="32"/>
          <w:highlight w:val="none"/>
          <w:shd w:val="clear" w:color="auto" w:fill="FFFFFF"/>
        </w:rPr>
        <w:t>人，分别比2018年末</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增长</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34.4</w:t>
      </w:r>
      <w:r>
        <w:rPr>
          <w:rFonts w:hint="eastAsia" w:ascii="仿宋_GB2312" w:hAnsi="仿宋_GB2312" w:eastAsia="仿宋_GB2312" w:cs="仿宋_GB2312"/>
          <w:i w:val="0"/>
          <w:iCs w:val="0"/>
          <w:caps w:val="0"/>
          <w:color w:val="auto"/>
          <w:spacing w:val="0"/>
          <w:sz w:val="32"/>
          <w:szCs w:val="32"/>
          <w:highlight w:val="none"/>
          <w:shd w:val="clear" w:color="auto" w:fill="FFFFFF"/>
        </w:rPr>
        <w:t>%和</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200.8</w:t>
      </w:r>
      <w:r>
        <w:rPr>
          <w:rFonts w:hint="eastAsia" w:ascii="仿宋_GB2312" w:hAnsi="仿宋_GB2312" w:eastAsia="仿宋_GB2312" w:cs="仿宋_GB2312"/>
          <w:i w:val="0"/>
          <w:iCs w:val="0"/>
          <w:caps w:val="0"/>
          <w:color w:val="auto"/>
          <w:spacing w:val="0"/>
          <w:sz w:val="32"/>
          <w:szCs w:val="32"/>
          <w:highlight w:val="none"/>
          <w:shd w:val="clear" w:color="auto" w:fill="FFFFFF"/>
        </w:rPr>
        <w:t>%。</w:t>
      </w:r>
    </w:p>
    <w:p w14:paraId="3D122D4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楷体_GB2312" w:hAnsi="楷体_GB2312" w:eastAsia="楷体_GB2312" w:cs="楷体_GB2312"/>
          <w:i w:val="0"/>
          <w:iCs w:val="0"/>
          <w:caps w:val="0"/>
          <w:color w:val="auto"/>
          <w:spacing w:val="0"/>
          <w:sz w:val="32"/>
          <w:szCs w:val="32"/>
          <w:shd w:val="clear" w:fill="FFFFFF"/>
        </w:rPr>
      </w:pPr>
      <w:r>
        <w:rPr>
          <w:rFonts w:hint="eastAsia" w:ascii="楷体_GB2312" w:hAnsi="楷体_GB2312" w:eastAsia="楷体_GB2312" w:cs="楷体_GB2312"/>
          <w:i w:val="0"/>
          <w:iCs w:val="0"/>
          <w:caps w:val="0"/>
          <w:color w:val="auto"/>
          <w:spacing w:val="0"/>
          <w:sz w:val="32"/>
          <w:szCs w:val="32"/>
          <w:shd w:val="clear" w:fill="FFFFFF"/>
        </w:rPr>
        <w:t>（二）主要经济指标</w:t>
      </w:r>
    </w:p>
    <w:p w14:paraId="0827767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32"/>
          <w:szCs w:val="32"/>
          <w:highlight w:val="none"/>
        </w:rPr>
      </w:pPr>
      <w:r>
        <w:rPr>
          <w:rFonts w:hint="eastAsia" w:ascii="仿宋" w:hAnsi="仿宋" w:eastAsia="仿宋" w:cs="仿宋"/>
          <w:i w:val="0"/>
          <w:iCs w:val="0"/>
          <w:caps w:val="0"/>
          <w:color w:val="auto"/>
          <w:spacing w:val="0"/>
          <w:sz w:val="32"/>
          <w:szCs w:val="32"/>
          <w:shd w:val="clear" w:color="auto" w:fill="FFFFFF"/>
        </w:rPr>
        <w:t> 　</w:t>
      </w:r>
      <w:r>
        <w:rPr>
          <w:rFonts w:hint="eastAsia" w:ascii="仿宋_GB2312" w:hAnsi="仿宋_GB2312" w:eastAsia="仿宋_GB2312" w:cs="仿宋_GB2312"/>
          <w:i w:val="0"/>
          <w:iCs w:val="0"/>
          <w:caps w:val="0"/>
          <w:color w:val="auto"/>
          <w:spacing w:val="0"/>
          <w:sz w:val="32"/>
          <w:szCs w:val="32"/>
          <w:highlight w:val="none"/>
          <w:shd w:val="clear" w:color="auto" w:fill="FFFFFF"/>
        </w:rPr>
        <w:t>　2023年末，文化、体育和娱乐业企业法人单位资产总计</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0.34亿</w:t>
      </w:r>
      <w:r>
        <w:rPr>
          <w:rFonts w:hint="eastAsia" w:ascii="仿宋_GB2312" w:hAnsi="仿宋_GB2312" w:eastAsia="仿宋_GB2312" w:cs="仿宋_GB2312"/>
          <w:i w:val="0"/>
          <w:iCs w:val="0"/>
          <w:caps w:val="0"/>
          <w:color w:val="auto"/>
          <w:spacing w:val="0"/>
          <w:sz w:val="32"/>
          <w:szCs w:val="32"/>
          <w:highlight w:val="none"/>
          <w:shd w:val="clear" w:color="auto" w:fill="FFFFFF"/>
        </w:rPr>
        <w:t>元，比2018年末增长</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145.3</w:t>
      </w:r>
      <w:r>
        <w:rPr>
          <w:rFonts w:hint="eastAsia" w:ascii="仿宋_GB2312" w:hAnsi="仿宋_GB2312" w:eastAsia="仿宋_GB2312" w:cs="仿宋_GB2312"/>
          <w:i w:val="0"/>
          <w:iCs w:val="0"/>
          <w:caps w:val="0"/>
          <w:color w:val="auto"/>
          <w:spacing w:val="0"/>
          <w:sz w:val="32"/>
          <w:szCs w:val="32"/>
          <w:highlight w:val="none"/>
          <w:shd w:val="clear" w:color="auto" w:fill="FFFFFF"/>
        </w:rPr>
        <w:t>%；负债合计</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0.20亿</w:t>
      </w:r>
      <w:r>
        <w:rPr>
          <w:rFonts w:hint="eastAsia" w:ascii="仿宋_GB2312" w:hAnsi="仿宋_GB2312" w:eastAsia="仿宋_GB2312" w:cs="仿宋_GB2312"/>
          <w:i w:val="0"/>
          <w:iCs w:val="0"/>
          <w:caps w:val="0"/>
          <w:color w:val="auto"/>
          <w:spacing w:val="0"/>
          <w:sz w:val="32"/>
          <w:szCs w:val="32"/>
          <w:highlight w:val="none"/>
          <w:shd w:val="clear" w:color="auto" w:fill="FFFFFF"/>
        </w:rPr>
        <w:t>元，比2018年末增长</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380.0</w:t>
      </w:r>
      <w:r>
        <w:rPr>
          <w:rFonts w:hint="eastAsia" w:ascii="仿宋_GB2312" w:hAnsi="仿宋_GB2312" w:eastAsia="仿宋_GB2312" w:cs="仿宋_GB2312"/>
          <w:i w:val="0"/>
          <w:iCs w:val="0"/>
          <w:caps w:val="0"/>
          <w:color w:val="auto"/>
          <w:spacing w:val="0"/>
          <w:sz w:val="32"/>
          <w:szCs w:val="32"/>
          <w:highlight w:val="none"/>
          <w:shd w:val="clear" w:color="auto" w:fill="FFFFFF"/>
        </w:rPr>
        <w:t>%。全年实现营业收入</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0.46亿</w:t>
      </w:r>
      <w:r>
        <w:rPr>
          <w:rFonts w:hint="eastAsia" w:ascii="仿宋_GB2312" w:hAnsi="仿宋_GB2312" w:eastAsia="仿宋_GB2312" w:cs="仿宋_GB2312"/>
          <w:i w:val="0"/>
          <w:iCs w:val="0"/>
          <w:caps w:val="0"/>
          <w:color w:val="auto"/>
          <w:spacing w:val="0"/>
          <w:sz w:val="32"/>
          <w:szCs w:val="32"/>
          <w:highlight w:val="none"/>
          <w:shd w:val="clear" w:color="auto" w:fill="FFFFFF"/>
        </w:rPr>
        <w:t>元，比2018年增长</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581.0</w:t>
      </w:r>
      <w:r>
        <w:rPr>
          <w:rFonts w:hint="eastAsia" w:ascii="仿宋_GB2312" w:hAnsi="仿宋_GB2312" w:eastAsia="仿宋_GB2312" w:cs="仿宋_GB2312"/>
          <w:i w:val="0"/>
          <w:iCs w:val="0"/>
          <w:caps w:val="0"/>
          <w:color w:val="auto"/>
          <w:spacing w:val="0"/>
          <w:sz w:val="32"/>
          <w:szCs w:val="32"/>
          <w:highlight w:val="none"/>
          <w:shd w:val="clear" w:color="auto" w:fill="FFFFFF"/>
        </w:rPr>
        <w:t>%。</w:t>
      </w:r>
    </w:p>
    <w:p w14:paraId="51441C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Theme="minorEastAsia" w:hAnsiTheme="minorEastAsia" w:eastAsiaTheme="minorEastAsia" w:cstheme="minorEastAsia"/>
          <w:i w:val="0"/>
          <w:iCs w:val="0"/>
          <w:caps w:val="0"/>
          <w:color w:val="auto"/>
          <w:spacing w:val="0"/>
          <w:sz w:val="32"/>
          <w:szCs w:val="32"/>
          <w:highlight w:val="yellow"/>
          <w:lang w:eastAsia="zh-CN"/>
        </w:rPr>
      </w:pPr>
      <w:r>
        <w:rPr>
          <w:rFonts w:hint="eastAsia" w:ascii="仿宋_GB2312" w:hAnsi="仿宋_GB2312" w:eastAsia="仿宋_GB2312" w:cs="仿宋_GB2312"/>
          <w:i w:val="0"/>
          <w:iCs w:val="0"/>
          <w:caps w:val="0"/>
          <w:color w:val="auto"/>
          <w:spacing w:val="0"/>
          <w:sz w:val="32"/>
          <w:szCs w:val="32"/>
          <w:highlight w:val="none"/>
          <w:shd w:val="clear" w:fill="FFFFFF"/>
        </w:rPr>
        <w:t>行政事业及非企业法人单位年末资产</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0.</w:t>
      </w:r>
      <w:r>
        <w:rPr>
          <w:rFonts w:hint="eastAsia" w:ascii="仿宋_GB2312" w:hAnsi="仿宋_GB2312" w:eastAsia="仿宋_GB2312" w:cs="仿宋_GB2312"/>
          <w:i w:val="0"/>
          <w:iCs w:val="0"/>
          <w:caps w:val="0"/>
          <w:color w:val="auto"/>
          <w:spacing w:val="0"/>
          <w:sz w:val="32"/>
          <w:szCs w:val="32"/>
          <w:highlight w:val="none"/>
          <w:shd w:val="clear" w:fill="FFFFFF"/>
        </w:rPr>
        <w:t>2</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1亿</w:t>
      </w:r>
      <w:r>
        <w:rPr>
          <w:rFonts w:hint="eastAsia" w:ascii="仿宋_GB2312" w:hAnsi="仿宋_GB2312" w:eastAsia="仿宋_GB2312" w:cs="仿宋_GB2312"/>
          <w:i w:val="0"/>
          <w:iCs w:val="0"/>
          <w:caps w:val="0"/>
          <w:color w:val="auto"/>
          <w:spacing w:val="0"/>
          <w:sz w:val="32"/>
          <w:szCs w:val="32"/>
          <w:highlight w:val="none"/>
          <w:shd w:val="clear" w:fill="FFFFFF"/>
        </w:rPr>
        <w:t>元，比2018年末下降81.4%。本年支出（费用）合计</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0.</w:t>
      </w:r>
      <w:r>
        <w:rPr>
          <w:rFonts w:hint="eastAsia" w:ascii="仿宋_GB2312" w:hAnsi="仿宋_GB2312" w:eastAsia="仿宋_GB2312" w:cs="仿宋_GB2312"/>
          <w:i w:val="0"/>
          <w:iCs w:val="0"/>
          <w:caps w:val="0"/>
          <w:color w:val="auto"/>
          <w:spacing w:val="0"/>
          <w:sz w:val="32"/>
          <w:szCs w:val="32"/>
          <w:highlight w:val="none"/>
          <w:shd w:val="clear" w:fill="FFFFFF"/>
        </w:rPr>
        <w:t>15</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亿</w:t>
      </w:r>
      <w:r>
        <w:rPr>
          <w:rFonts w:hint="eastAsia" w:ascii="仿宋_GB2312" w:hAnsi="仿宋_GB2312" w:eastAsia="仿宋_GB2312" w:cs="仿宋_GB2312"/>
          <w:i w:val="0"/>
          <w:iCs w:val="0"/>
          <w:caps w:val="0"/>
          <w:color w:val="auto"/>
          <w:spacing w:val="0"/>
          <w:sz w:val="32"/>
          <w:szCs w:val="32"/>
          <w:highlight w:val="none"/>
          <w:shd w:val="clear" w:fill="FFFFFF"/>
        </w:rPr>
        <w:t>元。</w:t>
      </w:r>
    </w:p>
    <w:p w14:paraId="2600802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rightChars="0" w:firstLine="640" w:firstLineChars="200"/>
        <w:jc w:val="both"/>
        <w:textAlignment w:val="auto"/>
        <w:rPr>
          <w:rFonts w:hint="eastAsia" w:ascii="黑体" w:hAnsi="黑体" w:eastAsia="黑体" w:cs="黑体"/>
          <w:b w:val="0"/>
          <w:bCs w:val="0"/>
          <w:i w:val="0"/>
          <w:iCs w:val="0"/>
          <w:caps w:val="0"/>
          <w:color w:val="auto"/>
          <w:spacing w:val="0"/>
          <w:sz w:val="32"/>
          <w:szCs w:val="32"/>
          <w:shd w:val="clear" w:color="auto" w:fill="FFFFFF"/>
        </w:rPr>
      </w:pPr>
      <w:r>
        <w:rPr>
          <w:rFonts w:hint="eastAsia" w:ascii="黑体" w:hAnsi="黑体" w:eastAsia="黑体" w:cs="黑体"/>
          <w:b w:val="0"/>
          <w:bCs w:val="0"/>
          <w:i w:val="0"/>
          <w:iCs w:val="0"/>
          <w:caps w:val="0"/>
          <w:color w:val="auto"/>
          <w:spacing w:val="0"/>
          <w:sz w:val="32"/>
          <w:szCs w:val="32"/>
          <w:shd w:val="clear" w:color="auto" w:fill="FFFFFF"/>
        </w:rPr>
        <w:t>七、公共管理、社会保障和社会组织</w:t>
      </w:r>
    </w:p>
    <w:p w14:paraId="77E730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rPr>
        <w:t>2023年末，全</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县</w:t>
      </w:r>
      <w:r>
        <w:rPr>
          <w:rFonts w:hint="eastAsia" w:ascii="仿宋_GB2312" w:hAnsi="仿宋_GB2312" w:eastAsia="仿宋_GB2312" w:cs="仿宋_GB2312"/>
          <w:i w:val="0"/>
          <w:iCs w:val="0"/>
          <w:caps w:val="0"/>
          <w:color w:val="auto"/>
          <w:spacing w:val="0"/>
          <w:sz w:val="32"/>
          <w:szCs w:val="32"/>
          <w:highlight w:val="none"/>
          <w:shd w:val="clear" w:fill="FFFFFF"/>
        </w:rPr>
        <w:t>共有公共管理、社会保障和社会组织法人单位351个，比2018年末下降0.</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3</w:t>
      </w:r>
      <w:r>
        <w:rPr>
          <w:rFonts w:hint="eastAsia" w:ascii="仿宋_GB2312" w:hAnsi="仿宋_GB2312" w:eastAsia="仿宋_GB2312" w:cs="仿宋_GB2312"/>
          <w:i w:val="0"/>
          <w:iCs w:val="0"/>
          <w:caps w:val="0"/>
          <w:color w:val="auto"/>
          <w:spacing w:val="0"/>
          <w:sz w:val="32"/>
          <w:szCs w:val="32"/>
          <w:highlight w:val="none"/>
          <w:shd w:val="clear" w:fill="FFFFFF"/>
        </w:rPr>
        <w:t>%；从业人员6217人，下降4.0%。行政事业及非企业法人单位本年支出（费用）合计41</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w:t>
      </w:r>
      <w:r>
        <w:rPr>
          <w:rFonts w:hint="eastAsia" w:ascii="仿宋_GB2312" w:hAnsi="仿宋_GB2312" w:eastAsia="仿宋_GB2312" w:cs="仿宋_GB2312"/>
          <w:i w:val="0"/>
          <w:iCs w:val="0"/>
          <w:caps w:val="0"/>
          <w:color w:val="auto"/>
          <w:spacing w:val="0"/>
          <w:sz w:val="32"/>
          <w:szCs w:val="32"/>
          <w:highlight w:val="none"/>
          <w:shd w:val="clear" w:fill="FFFFFF"/>
        </w:rPr>
        <w:t>0</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3亿</w:t>
      </w:r>
      <w:r>
        <w:rPr>
          <w:rFonts w:hint="eastAsia" w:ascii="仿宋_GB2312" w:hAnsi="仿宋_GB2312" w:eastAsia="仿宋_GB2312" w:cs="仿宋_GB2312"/>
          <w:i w:val="0"/>
          <w:iCs w:val="0"/>
          <w:caps w:val="0"/>
          <w:color w:val="auto"/>
          <w:spacing w:val="0"/>
          <w:sz w:val="32"/>
          <w:szCs w:val="32"/>
          <w:highlight w:val="none"/>
          <w:shd w:val="clear" w:fill="FFFFFF"/>
        </w:rPr>
        <w:t>元。</w:t>
      </w:r>
    </w:p>
    <w:p w14:paraId="3BDACDE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 </w:t>
      </w:r>
    </w:p>
    <w:p w14:paraId="5CD62668">
      <w:pPr>
        <w:rPr>
          <w:rFonts w:hint="default" w:ascii="楷体" w:hAnsi="楷体" w:eastAsia="楷体" w:cs="楷体"/>
          <w:b/>
          <w:bCs/>
          <w:i w:val="0"/>
          <w:iCs w:val="0"/>
          <w:caps w:val="0"/>
          <w:color w:val="auto"/>
          <w:spacing w:val="0"/>
          <w:kern w:val="0"/>
          <w:sz w:val="24"/>
          <w:szCs w:val="24"/>
          <w:shd w:val="clear" w:fill="FFFFFF"/>
          <w:lang w:val="en-US" w:eastAsia="zh-CN" w:bidi="ar"/>
        </w:rPr>
      </w:pPr>
      <w:r>
        <w:rPr>
          <w:rFonts w:hint="eastAsia" w:ascii="楷体" w:hAnsi="楷体" w:eastAsia="楷体" w:cs="楷体"/>
          <w:b/>
          <w:bCs/>
          <w:i w:val="0"/>
          <w:iCs w:val="0"/>
          <w:caps w:val="0"/>
          <w:color w:val="auto"/>
          <w:spacing w:val="0"/>
          <w:kern w:val="0"/>
          <w:sz w:val="24"/>
          <w:szCs w:val="24"/>
          <w:shd w:val="clear" w:fill="FFFFFF"/>
          <w:lang w:val="en-US" w:eastAsia="zh-CN" w:bidi="ar"/>
        </w:rPr>
        <w:t>　　注：</w:t>
      </w:r>
    </w:p>
    <w:p w14:paraId="49C08006">
      <w:pPr>
        <w:rPr>
          <w:rFonts w:hint="default" w:ascii="楷体" w:hAnsi="楷体" w:eastAsia="楷体" w:cs="楷体"/>
          <w:b w:val="0"/>
          <w:bCs w:val="0"/>
          <w:i w:val="0"/>
          <w:iCs w:val="0"/>
          <w:caps w:val="0"/>
          <w:color w:val="auto"/>
          <w:spacing w:val="0"/>
          <w:kern w:val="0"/>
          <w:sz w:val="24"/>
          <w:szCs w:val="24"/>
          <w:shd w:val="clear" w:fill="FFFFFF"/>
          <w:lang w:val="en-US" w:eastAsia="zh-CN" w:bidi="ar"/>
        </w:rPr>
      </w:pPr>
      <w:r>
        <w:rPr>
          <w:rFonts w:hint="eastAsia" w:ascii="楷体" w:hAnsi="楷体" w:eastAsia="楷体" w:cs="楷体"/>
          <w:b/>
          <w:bCs/>
          <w:i w:val="0"/>
          <w:iCs w:val="0"/>
          <w:caps w:val="0"/>
          <w:color w:val="auto"/>
          <w:spacing w:val="0"/>
          <w:kern w:val="0"/>
          <w:sz w:val="24"/>
          <w:szCs w:val="24"/>
          <w:shd w:val="clear" w:fill="FFFFFF"/>
          <w:lang w:val="en-US" w:eastAsia="zh-CN" w:bidi="ar"/>
        </w:rPr>
        <w:t>　　</w:t>
      </w:r>
      <w:r>
        <w:rPr>
          <w:rFonts w:hint="eastAsia" w:ascii="楷体" w:hAnsi="楷体" w:eastAsia="楷体" w:cs="楷体"/>
          <w:b w:val="0"/>
          <w:bCs w:val="0"/>
          <w:i w:val="0"/>
          <w:iCs w:val="0"/>
          <w:caps w:val="0"/>
          <w:color w:val="auto"/>
          <w:spacing w:val="0"/>
          <w:kern w:val="0"/>
          <w:sz w:val="24"/>
          <w:szCs w:val="24"/>
          <w:shd w:val="clear" w:fill="FFFFFF"/>
          <w:lang w:val="en-US" w:eastAsia="zh-CN" w:bidi="ar"/>
        </w:rPr>
        <w:t>[1]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p w14:paraId="1179C2D9">
      <w:pPr>
        <w:rPr>
          <w:rFonts w:hint="default" w:ascii="楷体" w:hAnsi="楷体" w:eastAsia="楷体" w:cs="楷体"/>
          <w:b w:val="0"/>
          <w:bCs w:val="0"/>
          <w:i w:val="0"/>
          <w:iCs w:val="0"/>
          <w:caps w:val="0"/>
          <w:color w:val="auto"/>
          <w:spacing w:val="0"/>
          <w:kern w:val="0"/>
          <w:sz w:val="24"/>
          <w:szCs w:val="24"/>
          <w:shd w:val="clear" w:fill="FFFFFF"/>
          <w:lang w:val="en-US" w:eastAsia="zh-CN" w:bidi="ar"/>
        </w:rPr>
      </w:pPr>
      <w:r>
        <w:rPr>
          <w:rFonts w:hint="eastAsia" w:ascii="楷体" w:hAnsi="楷体" w:eastAsia="楷体" w:cs="楷体"/>
          <w:b w:val="0"/>
          <w:bCs w:val="0"/>
          <w:i w:val="0"/>
          <w:iCs w:val="0"/>
          <w:caps w:val="0"/>
          <w:color w:val="auto"/>
          <w:spacing w:val="0"/>
          <w:kern w:val="0"/>
          <w:sz w:val="24"/>
          <w:szCs w:val="24"/>
          <w:shd w:val="clear" w:fill="FFFFFF"/>
          <w:lang w:val="en-US" w:eastAsia="zh-CN" w:bidi="ar"/>
        </w:rPr>
        <w:t> </w:t>
      </w:r>
    </w:p>
    <w:p w14:paraId="27D78632">
      <w:pPr>
        <w:rPr>
          <w:rFonts w:hint="default" w:ascii="楷体" w:hAnsi="楷体" w:eastAsia="楷体" w:cs="楷体"/>
          <w:b/>
          <w:bCs/>
          <w:i w:val="0"/>
          <w:iCs w:val="0"/>
          <w:caps w:val="0"/>
          <w:color w:val="auto"/>
          <w:spacing w:val="0"/>
          <w:kern w:val="0"/>
          <w:sz w:val="24"/>
          <w:szCs w:val="24"/>
          <w:shd w:val="clear" w:fill="FFFFFF"/>
          <w:lang w:val="en-US" w:eastAsia="zh-CN" w:bidi="ar"/>
        </w:rPr>
      </w:pPr>
      <w:r>
        <w:rPr>
          <w:rFonts w:hint="eastAsia" w:ascii="楷体" w:hAnsi="楷体" w:eastAsia="楷体" w:cs="楷体"/>
          <w:b/>
          <w:bCs/>
          <w:i w:val="0"/>
          <w:iCs w:val="0"/>
          <w:caps w:val="0"/>
          <w:color w:val="auto"/>
          <w:spacing w:val="0"/>
          <w:kern w:val="0"/>
          <w:sz w:val="24"/>
          <w:szCs w:val="24"/>
          <w:shd w:val="clear" w:fill="FFFFFF"/>
          <w:lang w:val="en-US" w:eastAsia="zh-CN" w:bidi="ar"/>
        </w:rPr>
        <w:t>　　注释：</w:t>
      </w:r>
    </w:p>
    <w:p w14:paraId="5C522198">
      <w:pPr>
        <w:rPr>
          <w:rFonts w:hint="default" w:ascii="楷体" w:hAnsi="楷体" w:eastAsia="楷体" w:cs="楷体"/>
          <w:b w:val="0"/>
          <w:bCs w:val="0"/>
          <w:i w:val="0"/>
          <w:iCs w:val="0"/>
          <w:caps w:val="0"/>
          <w:color w:val="auto"/>
          <w:spacing w:val="0"/>
          <w:kern w:val="0"/>
          <w:sz w:val="24"/>
          <w:szCs w:val="24"/>
          <w:shd w:val="clear" w:fill="FFFFFF"/>
          <w:lang w:val="en-US" w:eastAsia="zh-CN" w:bidi="ar"/>
        </w:rPr>
      </w:pPr>
      <w:r>
        <w:rPr>
          <w:rFonts w:hint="eastAsia" w:ascii="楷体" w:hAnsi="楷体" w:eastAsia="楷体" w:cs="楷体"/>
          <w:b/>
          <w:bCs/>
          <w:i w:val="0"/>
          <w:iCs w:val="0"/>
          <w:caps w:val="0"/>
          <w:color w:val="auto"/>
          <w:spacing w:val="0"/>
          <w:kern w:val="0"/>
          <w:sz w:val="24"/>
          <w:szCs w:val="24"/>
          <w:shd w:val="clear" w:fill="FFFFFF"/>
          <w:lang w:val="en-US" w:eastAsia="zh-CN" w:bidi="ar"/>
        </w:rPr>
        <w:t>　</w:t>
      </w:r>
      <w:r>
        <w:rPr>
          <w:rFonts w:hint="eastAsia" w:ascii="楷体" w:hAnsi="楷体" w:eastAsia="楷体" w:cs="楷体"/>
          <w:b w:val="0"/>
          <w:bCs w:val="0"/>
          <w:i w:val="0"/>
          <w:iCs w:val="0"/>
          <w:caps w:val="0"/>
          <w:color w:val="auto"/>
          <w:spacing w:val="0"/>
          <w:kern w:val="0"/>
          <w:sz w:val="24"/>
          <w:szCs w:val="24"/>
          <w:shd w:val="clear" w:fill="FFFFFF"/>
          <w:lang w:val="en-US" w:eastAsia="zh-CN" w:bidi="ar"/>
        </w:rPr>
        <w:t>　[1]本公报中的行政事业及非企业法人单位，不包括执行企业会计制度的事业法人单位、民办非企业法人单位和基金会，农民专业合作社，农村集体经济组织和除宗教活动场所以外的机构类型为其他组织机构的法人单位。</w:t>
      </w:r>
    </w:p>
    <w:p w14:paraId="79BDD542">
      <w:pPr>
        <w:rPr>
          <w:rFonts w:hint="default" w:ascii="楷体" w:hAnsi="楷体" w:eastAsia="楷体" w:cs="楷体"/>
          <w:b w:val="0"/>
          <w:bCs w:val="0"/>
          <w:i w:val="0"/>
          <w:iCs w:val="0"/>
          <w:caps w:val="0"/>
          <w:color w:val="auto"/>
          <w:spacing w:val="0"/>
          <w:kern w:val="0"/>
          <w:sz w:val="24"/>
          <w:szCs w:val="24"/>
          <w:shd w:val="clear" w:fill="FFFFFF"/>
          <w:lang w:val="en-US" w:eastAsia="zh-CN" w:bidi="ar"/>
        </w:rPr>
      </w:pPr>
      <w:r>
        <w:rPr>
          <w:rFonts w:hint="eastAsia" w:ascii="楷体" w:hAnsi="楷体" w:eastAsia="楷体" w:cs="楷体"/>
          <w:b w:val="0"/>
          <w:bCs w:val="0"/>
          <w:i w:val="0"/>
          <w:iCs w:val="0"/>
          <w:caps w:val="0"/>
          <w:color w:val="auto"/>
          <w:spacing w:val="0"/>
          <w:kern w:val="0"/>
          <w:sz w:val="24"/>
          <w:szCs w:val="24"/>
          <w:shd w:val="clear" w:fill="FFFFFF"/>
          <w:lang w:val="en-US" w:eastAsia="zh-CN" w:bidi="ar"/>
        </w:rPr>
        <w:t>　　[2]登记注册统计类别：根据国家统计局、国家市场监督管理总局《关于市场主体统计分类的划分规定》（国统字〔2023〕14号）确定，包括内资企业、港澳台投资企业和外商投资企业，以及农民专业合作社（联合社）等其他统计类别。</w:t>
      </w:r>
    </w:p>
    <w:p w14:paraId="3E27FCF3">
      <w:pPr>
        <w:rPr>
          <w:rFonts w:hint="default" w:ascii="楷体" w:hAnsi="楷体" w:eastAsia="楷体" w:cs="楷体"/>
          <w:b w:val="0"/>
          <w:bCs w:val="0"/>
          <w:i w:val="0"/>
          <w:iCs w:val="0"/>
          <w:caps w:val="0"/>
          <w:color w:val="auto"/>
          <w:spacing w:val="0"/>
          <w:kern w:val="0"/>
          <w:sz w:val="24"/>
          <w:szCs w:val="24"/>
          <w:shd w:val="clear" w:fill="FFFFFF"/>
          <w:lang w:val="en-US" w:eastAsia="zh-CN" w:bidi="ar"/>
        </w:rPr>
      </w:pPr>
      <w:r>
        <w:rPr>
          <w:rFonts w:hint="eastAsia" w:ascii="楷体" w:hAnsi="楷体" w:eastAsia="楷体" w:cs="楷体"/>
          <w:b w:val="0"/>
          <w:bCs w:val="0"/>
          <w:i w:val="0"/>
          <w:iCs w:val="0"/>
          <w:caps w:val="0"/>
          <w:color w:val="auto"/>
          <w:spacing w:val="0"/>
          <w:kern w:val="0"/>
          <w:sz w:val="24"/>
          <w:szCs w:val="24"/>
          <w:shd w:val="clear" w:fill="FFFFFF"/>
          <w:lang w:val="en-US" w:eastAsia="zh-CN" w:bidi="ar"/>
        </w:rPr>
        <w:t>　　[3]表中的合计数和部分计算数据因小数取舍而产生的误差，均未作机械调整。为保证数据精确度，个别数据保留2位小数。</w:t>
      </w:r>
    </w:p>
    <w:p w14:paraId="0753A951">
      <w:pPr>
        <w:rPr>
          <w:rFonts w:hint="eastAsia" w:ascii="楷体" w:hAnsi="楷体" w:eastAsia="楷体" w:cs="楷体"/>
          <w:b w:val="0"/>
          <w:bCs w:val="0"/>
          <w:i w:val="0"/>
          <w:iCs w:val="0"/>
          <w:caps w:val="0"/>
          <w:color w:val="auto"/>
          <w:spacing w:val="0"/>
          <w:kern w:val="0"/>
          <w:sz w:val="24"/>
          <w:szCs w:val="24"/>
          <w:shd w:val="clear" w:fill="FFFFFF"/>
          <w:lang w:val="en-US" w:eastAsia="zh-CN" w:bidi="a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BC4D8C"/>
    <w:multiLevelType w:val="singleLevel"/>
    <w:tmpl w:val="F7BC4D8C"/>
    <w:lvl w:ilvl="0" w:tentative="0">
      <w:start w:val="1"/>
      <w:numFmt w:val="chineseCounting"/>
      <w:suff w:val="nothing"/>
      <w:lvlText w:val="%1、"/>
      <w:lvlJc w:val="left"/>
      <w:rPr>
        <w:rFonts w:hint="eastAsia"/>
      </w:rPr>
    </w:lvl>
  </w:abstractNum>
  <w:abstractNum w:abstractNumId="1">
    <w:nsid w:val="F7FCA81B"/>
    <w:multiLevelType w:val="singleLevel"/>
    <w:tmpl w:val="F7FCA81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3ZTI3MDM0ZWE5NzUzZDgzZTllNTFmNjQ0OWEwOWEifQ=="/>
  </w:docVars>
  <w:rsids>
    <w:rsidRoot w:val="00000000"/>
    <w:rsid w:val="0031641F"/>
    <w:rsid w:val="01D54B64"/>
    <w:rsid w:val="04D61B68"/>
    <w:rsid w:val="08A968DC"/>
    <w:rsid w:val="09A471F6"/>
    <w:rsid w:val="0DA97C29"/>
    <w:rsid w:val="0F7017A6"/>
    <w:rsid w:val="11D5560E"/>
    <w:rsid w:val="13627C7B"/>
    <w:rsid w:val="152A02C3"/>
    <w:rsid w:val="15554CA3"/>
    <w:rsid w:val="15F87DAE"/>
    <w:rsid w:val="1A756DE2"/>
    <w:rsid w:val="1A883693"/>
    <w:rsid w:val="1A964CD3"/>
    <w:rsid w:val="1ADB3B54"/>
    <w:rsid w:val="1C44694B"/>
    <w:rsid w:val="1C545724"/>
    <w:rsid w:val="1C8B46A8"/>
    <w:rsid w:val="1EC90EBA"/>
    <w:rsid w:val="20375CC8"/>
    <w:rsid w:val="20684BD2"/>
    <w:rsid w:val="26964247"/>
    <w:rsid w:val="275D0857"/>
    <w:rsid w:val="27B532DE"/>
    <w:rsid w:val="280B3AA1"/>
    <w:rsid w:val="29BC4D98"/>
    <w:rsid w:val="2B085D99"/>
    <w:rsid w:val="2F9A5773"/>
    <w:rsid w:val="2FEE0C32"/>
    <w:rsid w:val="31C81974"/>
    <w:rsid w:val="31D43E75"/>
    <w:rsid w:val="329A32F7"/>
    <w:rsid w:val="3A4C02FB"/>
    <w:rsid w:val="3CAB7151"/>
    <w:rsid w:val="3D1D0DC6"/>
    <w:rsid w:val="3E2265ED"/>
    <w:rsid w:val="3F1C63AA"/>
    <w:rsid w:val="466E3C64"/>
    <w:rsid w:val="47C6205A"/>
    <w:rsid w:val="48523D78"/>
    <w:rsid w:val="4E157897"/>
    <w:rsid w:val="50302767"/>
    <w:rsid w:val="53845804"/>
    <w:rsid w:val="54964548"/>
    <w:rsid w:val="54982429"/>
    <w:rsid w:val="5773050F"/>
    <w:rsid w:val="591D4E3D"/>
    <w:rsid w:val="5CA00373"/>
    <w:rsid w:val="5D2E7FE5"/>
    <w:rsid w:val="5D8B36D2"/>
    <w:rsid w:val="617F0B3D"/>
    <w:rsid w:val="66BF17D0"/>
    <w:rsid w:val="66CE5B74"/>
    <w:rsid w:val="693F5317"/>
    <w:rsid w:val="699058D3"/>
    <w:rsid w:val="6A8A46FA"/>
    <w:rsid w:val="6AF1257C"/>
    <w:rsid w:val="6BF863D7"/>
    <w:rsid w:val="6F765115"/>
    <w:rsid w:val="702933C9"/>
    <w:rsid w:val="71B4105D"/>
    <w:rsid w:val="71F47A7A"/>
    <w:rsid w:val="75732431"/>
    <w:rsid w:val="775B5A63"/>
    <w:rsid w:val="7B657E87"/>
    <w:rsid w:val="7CD20A5A"/>
    <w:rsid w:val="7D6AE7F5"/>
    <w:rsid w:val="7F5FF7D0"/>
    <w:rsid w:val="EFF3BD77"/>
    <w:rsid w:val="FFF79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2255</Words>
  <Characters>2890</Characters>
  <Lines>0</Lines>
  <Paragraphs>0</Paragraphs>
  <TotalTime>1</TotalTime>
  <ScaleCrop>false</ScaleCrop>
  <LinksUpToDate>false</LinksUpToDate>
  <CharactersWithSpaces>2931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2025-01-11T07:42:00Z</dcterms:created>
  <dc:creator>TF</dc:creator>
  <cp:lastModifiedBy>WPS_1604164588</cp:lastModifiedBy>
  <dcterms:modified xsi:type="dcterms:W3CDTF">2025-07-07T08:57:22Z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eyJoZGlkIjoiYmQyYjljOWQ0ZTY0NWE0OTcwNWM3NDM3MDE1Y2IzYWYiLCJ1c2VySWQiOiIxMTM4ODAyOTU1In0=</vt:lpwstr>
  </property>
  <property fmtid="{D5CDD505-2E9C-101B-9397-08002B2CF9AE}" pid="4" name="ICV">
    <vt:lpwstr>B65BE446B40F43878306C691471ACB1C_12</vt:lpwstr>
  </property>
</Properties>
</file>