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eastAsia="zh-CN"/>
        </w:rPr>
        <w:t>附件</w:t>
      </w:r>
      <w:r>
        <w:rPr>
          <w:rFonts w:hint="eastAsia" w:eastAsia="黑体" w:cs="Times New Roman"/>
          <w:b w:val="0"/>
          <w:bCs/>
          <w:sz w:val="32"/>
          <w:szCs w:val="32"/>
          <w:highlight w:val="none"/>
          <w:lang w:val="en-US" w:eastAsia="zh-CN"/>
        </w:rPr>
        <w:t>4</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rPr>
          <w:rFonts w:hint="default" w:ascii="Times New Roman" w:hAnsi="Times New Roman" w:eastAsia="黑体" w:cs="Times New Roman"/>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i w:val="0"/>
          <w:caps w:val="0"/>
          <w:color w:val="auto"/>
          <w:spacing w:val="0"/>
          <w:sz w:val="44"/>
          <w:szCs w:val="44"/>
          <w:highlight w:val="none"/>
          <w:shd w:val="clear" w:color="auto" w:fill="FFFFFF"/>
          <w:lang w:val="en-US" w:eastAsia="zh-CN"/>
        </w:rPr>
        <w:t>广东省</w:t>
      </w:r>
      <w:r>
        <w:rPr>
          <w:rFonts w:hint="default" w:ascii="Times New Roman" w:hAnsi="Times New Roman" w:eastAsia="方正小标宋简体" w:cs="Times New Roman"/>
          <w:b w:val="0"/>
          <w:bCs/>
          <w:sz w:val="44"/>
          <w:szCs w:val="44"/>
          <w:highlight w:val="none"/>
          <w:lang w:eastAsia="zh-CN"/>
        </w:rPr>
        <w:t>基层住院医师线上岗位</w:t>
      </w: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default" w:ascii="Times New Roman" w:hAnsi="Times New Roman" w:eastAsia="方正小标宋简体" w:cs="Times New Roman"/>
          <w:b w:val="0"/>
          <w:bCs/>
          <w:sz w:val="44"/>
          <w:szCs w:val="44"/>
          <w:highlight w:val="none"/>
          <w:lang w:val="en-US" w:eastAsia="zh-CN"/>
        </w:rPr>
      </w:pPr>
      <w:r>
        <w:rPr>
          <w:rFonts w:hint="default" w:ascii="Times New Roman" w:hAnsi="Times New Roman" w:eastAsia="方正小标宋简体" w:cs="Times New Roman"/>
          <w:b w:val="0"/>
          <w:bCs/>
          <w:sz w:val="44"/>
          <w:szCs w:val="44"/>
          <w:highlight w:val="none"/>
          <w:lang w:eastAsia="zh-CN"/>
        </w:rPr>
        <w:t>培训课程实施方案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0"/>
        <w:textAlignment w:val="auto"/>
        <w:rPr>
          <w:rFonts w:hint="default" w:ascii="Times New Roman" w:hAnsi="Times New Roman" w:eastAsia="黑体" w:cs="Times New Roman"/>
          <w:b w:val="0"/>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为进一步完善我省卫生健康专业技术人才职称评价机制，提升基层临床医师医疗服务能力，结合我省基层卫生专业技术人才队伍实际，开设我省基层住院医师线上岗位培训课程。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一、培训对象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一）在我省县（市、区）级以上医疗卫生机构（含县〈市、区〉级三级医院以及在省、市级卫生健康行政部门执业登记的社会办医疗机构）工作的临床、口腔、中医类别医师符合以下条件，当年度可参加培训：具备大专学历，经执业医师注册后从事医疗执业活动满5年；或具备中专学历，经执业医师注册后从事医疗执业活动满6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二）人事关系在我省县（市、区）级及以下医院（不含三级医院）和在县（市、区）级卫生健康行政部门执业登记的社会办医疗卫生机构（包含医养结合机构）工作的临床、口腔、中医类别医师符合以下条件，当年度可参加培训：具备大学本科学历或学士学位，经执业医师注册后从事医疗执业活动满2年；或具备大专学历，经执业医师注册后从事医疗执业活动满5年；或具备中专学历，经执业医师注册后从事医疗执业活动满6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（三）人事关系在我省基层医疗卫生机构，且具备大学本科学历的临床、口腔、中医类别医师（不含订单定向本科医学毕业生）。</w:t>
      </w:r>
      <w:r>
        <w:rPr>
          <w:rFonts w:hint="default" w:ascii="Times New Roman" w:hAnsi="Times New Roman" w:eastAsia="仿宋_GB2312" w:cs="Times New Roman"/>
          <w:b/>
          <w:bCs w:val="0"/>
          <w:kern w:val="0"/>
          <w:sz w:val="32"/>
          <w:szCs w:val="32"/>
          <w:highlight w:val="none"/>
          <w:lang w:val="en-US" w:eastAsia="zh-CN"/>
        </w:rPr>
        <w:t>基层医疗卫生机构指乡镇（街道）卫生院、社区卫生服务中心（站）、村卫生室、医务室、门诊部、诊所</w:t>
      </w:r>
      <w:r>
        <w:rPr>
          <w:rFonts w:hint="default" w:ascii="Times New Roman" w:hAnsi="Times New Roman" w:eastAsia="仿宋_GB2312" w:cs="Times New Roman"/>
          <w:b w:val="0"/>
          <w:bCs/>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黑体" w:cs="Times New Roman"/>
          <w:b w:val="0"/>
          <w:bCs/>
          <w:kern w:val="0"/>
          <w:sz w:val="32"/>
          <w:szCs w:val="32"/>
          <w:highlight w:val="none"/>
          <w:lang w:val="en-US" w:eastAsia="zh-CN"/>
        </w:rPr>
      </w:pPr>
      <w:r>
        <w:rPr>
          <w:rFonts w:hint="default" w:ascii="Times New Roman" w:hAnsi="Times New Roman" w:eastAsia="黑体" w:cs="Times New Roman"/>
          <w:b w:val="0"/>
          <w:bCs/>
          <w:kern w:val="0"/>
          <w:sz w:val="32"/>
          <w:szCs w:val="32"/>
          <w:highlight w:val="none"/>
          <w:lang w:val="en-US" w:eastAsia="zh-CN"/>
        </w:rPr>
        <w:t>二、培训专业及内容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培训专业分全科医学专业、口腔医学专业、中医学专业，培训人员可根据《医师执业证书》确定的执业范围选择相应专业，其中临床类别均选择全科医学专业。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rPr>
      </w:pPr>
      <w:r>
        <w:rPr>
          <w:rFonts w:hint="default" w:ascii="Times New Roman" w:hAnsi="Times New Roman" w:eastAsia="楷体_GB2312" w:cs="Times New Roman"/>
          <w:b w:val="0"/>
          <w:bCs/>
          <w:kern w:val="0"/>
          <w:sz w:val="32"/>
          <w:szCs w:val="32"/>
          <w:highlight w:val="none"/>
          <w:lang w:eastAsia="zh-CN"/>
        </w:rPr>
        <w:t>（</w:t>
      </w:r>
      <w:r>
        <w:rPr>
          <w:rFonts w:hint="default" w:ascii="Times New Roman" w:hAnsi="Times New Roman" w:eastAsia="楷体_GB2312" w:cs="Times New Roman"/>
          <w:b w:val="0"/>
          <w:bCs/>
          <w:kern w:val="0"/>
          <w:sz w:val="32"/>
          <w:szCs w:val="32"/>
          <w:highlight w:val="none"/>
          <w:lang w:val="en-US" w:eastAsia="zh-CN"/>
        </w:rPr>
        <w:t>一</w:t>
      </w:r>
      <w:r>
        <w:rPr>
          <w:rFonts w:hint="default" w:ascii="Times New Roman" w:hAnsi="Times New Roman" w:eastAsia="楷体_GB2312" w:cs="Times New Roman"/>
          <w:b w:val="0"/>
          <w:bCs/>
          <w:kern w:val="0"/>
          <w:sz w:val="32"/>
          <w:szCs w:val="32"/>
          <w:highlight w:val="none"/>
          <w:lang w:eastAsia="zh-CN"/>
        </w:rPr>
        <w:t>）</w:t>
      </w:r>
      <w:r>
        <w:rPr>
          <w:rFonts w:hint="default" w:ascii="Times New Roman" w:hAnsi="Times New Roman" w:eastAsia="楷体_GB2312" w:cs="Times New Roman"/>
          <w:b w:val="0"/>
          <w:bCs/>
          <w:kern w:val="0"/>
          <w:sz w:val="32"/>
          <w:szCs w:val="32"/>
          <w:highlight w:val="none"/>
        </w:rPr>
        <w:t>全科</w:t>
      </w:r>
      <w:r>
        <w:rPr>
          <w:rFonts w:hint="default" w:ascii="Times New Roman" w:hAnsi="Times New Roman" w:eastAsia="楷体_GB2312" w:cs="Times New Roman"/>
          <w:b w:val="0"/>
          <w:bCs/>
          <w:kern w:val="0"/>
          <w:sz w:val="32"/>
          <w:szCs w:val="32"/>
          <w:highlight w:val="none"/>
          <w:lang w:eastAsia="zh-CN"/>
        </w:rPr>
        <w:t>医学</w:t>
      </w:r>
      <w:r>
        <w:rPr>
          <w:rFonts w:hint="default" w:ascii="Times New Roman" w:hAnsi="Times New Roman" w:eastAsia="楷体_GB2312" w:cs="Times New Roman"/>
          <w:b w:val="0"/>
          <w:bCs/>
          <w:kern w:val="0"/>
          <w:sz w:val="32"/>
          <w:szCs w:val="32"/>
          <w:highlight w:val="none"/>
          <w:lang w:val="en-US" w:eastAsia="zh-CN"/>
        </w:rPr>
        <w:t>专业。</w:t>
      </w:r>
      <w:r>
        <w:rPr>
          <w:rFonts w:hint="default" w:ascii="Times New Roman" w:hAnsi="Times New Roman" w:eastAsia="仿宋_GB2312" w:cs="Times New Roman"/>
          <w:b w:val="0"/>
          <w:bCs/>
          <w:kern w:val="0"/>
          <w:sz w:val="32"/>
          <w:szCs w:val="32"/>
          <w:highlight w:val="none"/>
        </w:rPr>
        <w:t>培训</w:t>
      </w:r>
      <w:r>
        <w:rPr>
          <w:rFonts w:hint="default" w:ascii="Times New Roman" w:hAnsi="Times New Roman" w:eastAsia="仿宋_GB2312" w:cs="Times New Roman"/>
          <w:b w:val="0"/>
          <w:bCs/>
          <w:kern w:val="0"/>
          <w:sz w:val="32"/>
          <w:szCs w:val="32"/>
          <w:highlight w:val="none"/>
          <w:lang w:eastAsia="zh-CN"/>
        </w:rPr>
        <w:t>内容包括</w:t>
      </w:r>
      <w:r>
        <w:rPr>
          <w:rFonts w:hint="default" w:ascii="Times New Roman" w:hAnsi="Times New Roman" w:eastAsia="仿宋_GB2312" w:cs="Times New Roman"/>
          <w:b w:val="0"/>
          <w:bCs/>
          <w:kern w:val="0"/>
          <w:sz w:val="32"/>
          <w:szCs w:val="32"/>
          <w:highlight w:val="none"/>
        </w:rPr>
        <w:t>临床常见症状的鉴别，常见慢性病及老年病的管理，基层内科、外科、妇科、儿科、皮肤科常见病诊疗管理，临床基本操作技能，社区预防保健及康复服务等。</w:t>
      </w:r>
      <w:r>
        <w:rPr>
          <w:rFonts w:hint="default" w:ascii="Times New Roman" w:hAnsi="Times New Roman" w:eastAsia="仿宋_GB2312" w:cs="Times New Roman"/>
          <w:b w:val="0"/>
          <w:bCs/>
          <w:kern w:val="0"/>
          <w:sz w:val="32"/>
          <w:szCs w:val="32"/>
          <w:highlight w:val="none"/>
          <w:lang w:eastAsia="zh-CN"/>
        </w:rPr>
        <w:t>通过培训，掌握</w:t>
      </w:r>
      <w:r>
        <w:rPr>
          <w:rFonts w:hint="default" w:ascii="Times New Roman" w:hAnsi="Times New Roman" w:eastAsia="仿宋_GB2312" w:cs="Times New Roman"/>
          <w:b w:val="0"/>
          <w:bCs/>
          <w:kern w:val="0"/>
          <w:sz w:val="32"/>
          <w:szCs w:val="32"/>
          <w:highlight w:val="none"/>
        </w:rPr>
        <w:t>全科医学基本理论与临床思维、临床医疗服务、基层全科医疗与公共卫生服务等方面</w:t>
      </w:r>
      <w:r>
        <w:rPr>
          <w:rFonts w:hint="default" w:ascii="Times New Roman" w:hAnsi="Times New Roman" w:eastAsia="仿宋_GB2312" w:cs="Times New Roman"/>
          <w:b w:val="0"/>
          <w:bCs/>
          <w:kern w:val="0"/>
          <w:sz w:val="32"/>
          <w:szCs w:val="32"/>
          <w:highlight w:val="none"/>
          <w:lang w:eastAsia="zh-CN"/>
        </w:rPr>
        <w:t>知识和技能</w:t>
      </w:r>
      <w:r>
        <w:rPr>
          <w:rFonts w:hint="default" w:ascii="Times New Roman" w:hAnsi="Times New Roman" w:eastAsia="仿宋_GB2312" w:cs="Times New Roman"/>
          <w:b w:val="0"/>
          <w:bCs/>
          <w:kern w:val="0"/>
          <w:sz w:val="32"/>
          <w:szCs w:val="32"/>
          <w:highlight w:val="none"/>
        </w:rPr>
        <w:t>，突出全科医生作为居民健康“守门人”的岗位特点，培养其良好的综合素质和职业精神。</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宋体" w:cs="Times New Roman"/>
          <w:b w:val="0"/>
          <w:bCs/>
          <w:kern w:val="0"/>
          <w:sz w:val="32"/>
          <w:szCs w:val="32"/>
          <w:highlight w:val="none"/>
        </w:rPr>
      </w:pPr>
      <w:r>
        <w:rPr>
          <w:rFonts w:hint="default" w:ascii="Times New Roman" w:hAnsi="Times New Roman" w:eastAsia="楷体_GB2312" w:cs="Times New Roman"/>
          <w:b w:val="0"/>
          <w:bCs/>
          <w:kern w:val="0"/>
          <w:sz w:val="32"/>
          <w:szCs w:val="32"/>
          <w:highlight w:val="none"/>
          <w:lang w:eastAsia="zh-CN"/>
        </w:rPr>
        <w:t>（</w:t>
      </w:r>
      <w:r>
        <w:rPr>
          <w:rFonts w:hint="default" w:ascii="Times New Roman" w:hAnsi="Times New Roman" w:eastAsia="楷体_GB2312" w:cs="Times New Roman"/>
          <w:b w:val="0"/>
          <w:bCs/>
          <w:kern w:val="0"/>
          <w:sz w:val="32"/>
          <w:szCs w:val="32"/>
          <w:highlight w:val="none"/>
          <w:lang w:val="en-US" w:eastAsia="zh-CN"/>
        </w:rPr>
        <w:t>二</w:t>
      </w:r>
      <w:r>
        <w:rPr>
          <w:rFonts w:hint="default" w:ascii="Times New Roman" w:hAnsi="Times New Roman" w:eastAsia="楷体_GB2312" w:cs="Times New Roman"/>
          <w:b w:val="0"/>
          <w:bCs/>
          <w:kern w:val="0"/>
          <w:sz w:val="32"/>
          <w:szCs w:val="32"/>
          <w:highlight w:val="none"/>
          <w:lang w:eastAsia="zh-CN"/>
        </w:rPr>
        <w:t>）口腔医学</w:t>
      </w:r>
      <w:r>
        <w:rPr>
          <w:rFonts w:hint="default" w:ascii="Times New Roman" w:hAnsi="Times New Roman" w:eastAsia="楷体_GB2312" w:cs="Times New Roman"/>
          <w:b w:val="0"/>
          <w:bCs/>
          <w:kern w:val="0"/>
          <w:sz w:val="32"/>
          <w:szCs w:val="32"/>
          <w:highlight w:val="none"/>
          <w:lang w:val="en-US" w:eastAsia="zh-CN"/>
        </w:rPr>
        <w:t>专业。</w:t>
      </w:r>
      <w:r>
        <w:rPr>
          <w:rFonts w:hint="default" w:ascii="Times New Roman" w:hAnsi="Times New Roman" w:eastAsia="仿宋_GB2312" w:cs="Times New Roman"/>
          <w:b w:val="0"/>
          <w:bCs/>
          <w:kern w:val="0"/>
          <w:sz w:val="32"/>
          <w:szCs w:val="32"/>
          <w:highlight w:val="none"/>
        </w:rPr>
        <w:t>培训</w:t>
      </w:r>
      <w:r>
        <w:rPr>
          <w:rFonts w:hint="default" w:ascii="Times New Roman" w:hAnsi="Times New Roman" w:eastAsia="仿宋_GB2312" w:cs="Times New Roman"/>
          <w:b w:val="0"/>
          <w:bCs/>
          <w:kern w:val="0"/>
          <w:sz w:val="32"/>
          <w:szCs w:val="32"/>
          <w:highlight w:val="none"/>
          <w:lang w:eastAsia="zh-CN"/>
        </w:rPr>
        <w:t>内容</w:t>
      </w:r>
      <w:r>
        <w:rPr>
          <w:rFonts w:hint="default" w:ascii="Times New Roman" w:hAnsi="Times New Roman" w:eastAsia="仿宋_GB2312" w:cs="Times New Roman"/>
          <w:b w:val="0"/>
          <w:bCs/>
          <w:kern w:val="0"/>
          <w:sz w:val="32"/>
          <w:szCs w:val="32"/>
          <w:highlight w:val="none"/>
        </w:rPr>
        <w:t>包括口腔解剖生理学、口腔材料学、口腔内科、口腔颌面外科、儿童口腔医学、口腔预防医学、口腔颌面医学影像诊断学、口腔正畸学、口腔修复学</w:t>
      </w:r>
      <w:r>
        <w:rPr>
          <w:rFonts w:hint="default" w:ascii="Times New Roman" w:hAnsi="Times New Roman" w:eastAsia="仿宋_GB2312" w:cs="Times New Roman"/>
          <w:b w:val="0"/>
          <w:bCs/>
          <w:kern w:val="0"/>
          <w:sz w:val="32"/>
          <w:szCs w:val="32"/>
          <w:highlight w:val="none"/>
          <w:lang w:eastAsia="zh-CN"/>
        </w:rPr>
        <w:t>等</w:t>
      </w:r>
      <w:r>
        <w:rPr>
          <w:rFonts w:hint="default" w:ascii="Times New Roman" w:hAnsi="Times New Roman" w:eastAsia="仿宋_GB2312" w:cs="Times New Roman"/>
          <w:b w:val="0"/>
          <w:bCs/>
          <w:kern w:val="0"/>
          <w:sz w:val="32"/>
          <w:szCs w:val="32"/>
          <w:highlight w:val="none"/>
        </w:rPr>
        <w:t>。通过</w:t>
      </w:r>
      <w:r>
        <w:rPr>
          <w:rFonts w:hint="default" w:ascii="Times New Roman" w:hAnsi="Times New Roman" w:eastAsia="仿宋_GB2312" w:cs="Times New Roman"/>
          <w:b w:val="0"/>
          <w:bCs/>
          <w:kern w:val="0"/>
          <w:sz w:val="32"/>
          <w:szCs w:val="32"/>
          <w:highlight w:val="none"/>
          <w:lang w:eastAsia="zh-CN"/>
        </w:rPr>
        <w:t>培训</w:t>
      </w:r>
      <w:r>
        <w:rPr>
          <w:rFonts w:hint="default" w:ascii="Times New Roman" w:hAnsi="Times New Roman" w:eastAsia="仿宋_GB2312" w:cs="Times New Roman"/>
          <w:b w:val="0"/>
          <w:bCs/>
          <w:kern w:val="0"/>
          <w:sz w:val="32"/>
          <w:szCs w:val="32"/>
          <w:highlight w:val="none"/>
        </w:rPr>
        <w:t>，掌握口腔基础医学与口腔临床医学的基本理论和口腔常见疾病的临床表现、发病机制及诊治原则，包括牙体牙髓病、牙周病、口腔黏膜病、儿童口腔疾病、牙列缺失与缺损、牙颌面畸形、肿瘤、外伤、感染等；提高口腔医学基本技能和临床思辨能力，如病历书写与分析、辅助检查结果判读、常见病的诊断与鉴别诊断；帮助基层卫生人员强化口腔预防医学理念，综合保健观念以及在临床实践中提供预防保健服务的思想。</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楷体_GB2312" w:cs="Times New Roman"/>
          <w:b w:val="0"/>
          <w:bCs/>
          <w:kern w:val="0"/>
          <w:sz w:val="32"/>
          <w:szCs w:val="32"/>
          <w:highlight w:val="none"/>
          <w:lang w:eastAsia="zh-CN"/>
        </w:rPr>
        <w:t>（</w:t>
      </w:r>
      <w:r>
        <w:rPr>
          <w:rFonts w:hint="default" w:ascii="Times New Roman" w:hAnsi="Times New Roman" w:eastAsia="楷体_GB2312" w:cs="Times New Roman"/>
          <w:b w:val="0"/>
          <w:bCs/>
          <w:kern w:val="0"/>
          <w:sz w:val="32"/>
          <w:szCs w:val="32"/>
          <w:highlight w:val="none"/>
          <w:lang w:val="en-US" w:eastAsia="zh-CN"/>
        </w:rPr>
        <w:t>三</w:t>
      </w:r>
      <w:r>
        <w:rPr>
          <w:rFonts w:hint="default" w:ascii="Times New Roman" w:hAnsi="Times New Roman" w:eastAsia="楷体_GB2312" w:cs="Times New Roman"/>
          <w:b w:val="0"/>
          <w:bCs/>
          <w:kern w:val="0"/>
          <w:sz w:val="32"/>
          <w:szCs w:val="32"/>
          <w:highlight w:val="none"/>
          <w:lang w:eastAsia="zh-CN"/>
        </w:rPr>
        <w:t>）中医学</w:t>
      </w:r>
      <w:r>
        <w:rPr>
          <w:rFonts w:hint="default" w:ascii="Times New Roman" w:hAnsi="Times New Roman" w:eastAsia="楷体_GB2312" w:cs="Times New Roman"/>
          <w:b w:val="0"/>
          <w:bCs/>
          <w:kern w:val="0"/>
          <w:sz w:val="32"/>
          <w:szCs w:val="32"/>
          <w:highlight w:val="none"/>
          <w:lang w:val="en-US" w:eastAsia="zh-CN"/>
        </w:rPr>
        <w:t>专业。</w:t>
      </w:r>
      <w:r>
        <w:rPr>
          <w:rFonts w:hint="default" w:ascii="Times New Roman" w:hAnsi="Times New Roman" w:eastAsia="仿宋_GB2312" w:cs="Times New Roman"/>
          <w:b w:val="0"/>
          <w:bCs/>
          <w:kern w:val="0"/>
          <w:sz w:val="32"/>
          <w:szCs w:val="32"/>
          <w:highlight w:val="none"/>
          <w:lang w:eastAsia="zh-CN"/>
        </w:rPr>
        <w:t>培训内容包括</w:t>
      </w:r>
      <w:r>
        <w:rPr>
          <w:rFonts w:hint="default" w:ascii="Times New Roman" w:hAnsi="Times New Roman" w:eastAsia="仿宋_GB2312" w:cs="Times New Roman"/>
          <w:b w:val="0"/>
          <w:bCs/>
          <w:kern w:val="0"/>
          <w:sz w:val="32"/>
          <w:szCs w:val="32"/>
          <w:highlight w:val="none"/>
        </w:rPr>
        <w:t>中医药法、中医基本知识和技能、中医药适宜技术、中医常见病诊治、中医药养生保健以及中医四大经典等。通过培训，</w:t>
      </w:r>
      <w:r>
        <w:rPr>
          <w:rFonts w:hint="default" w:ascii="Times New Roman" w:hAnsi="Times New Roman" w:eastAsia="仿宋_GB2312" w:cs="Times New Roman"/>
          <w:b w:val="0"/>
          <w:bCs/>
          <w:kern w:val="0"/>
          <w:sz w:val="32"/>
          <w:szCs w:val="32"/>
          <w:highlight w:val="none"/>
          <w:lang w:eastAsia="zh-CN"/>
        </w:rPr>
        <w:t>掌握</w:t>
      </w:r>
      <w:r>
        <w:rPr>
          <w:rFonts w:hint="default" w:ascii="Times New Roman" w:hAnsi="Times New Roman" w:eastAsia="仿宋_GB2312" w:cs="Times New Roman"/>
          <w:b w:val="0"/>
          <w:bCs/>
          <w:kern w:val="0"/>
          <w:sz w:val="32"/>
          <w:szCs w:val="32"/>
          <w:highlight w:val="none"/>
        </w:rPr>
        <w:t>望闻问切病史采集基本功，辨证论治临证思辨能力，针刺推拿等中医基本技能，中医药预防保健能力，最大限度地发挥中医药技术在居民疾病预防和治疗、康复保健等方面的效用，提升基层医务人员的</w:t>
      </w:r>
      <w:r>
        <w:rPr>
          <w:rFonts w:hint="default" w:ascii="Times New Roman" w:hAnsi="Times New Roman" w:eastAsia="仿宋_GB2312" w:cs="Times New Roman"/>
          <w:b w:val="0"/>
          <w:bCs/>
          <w:kern w:val="0"/>
          <w:sz w:val="32"/>
          <w:szCs w:val="32"/>
          <w:highlight w:val="none"/>
          <w:lang w:eastAsia="zh-CN"/>
        </w:rPr>
        <w:t>中医</w:t>
      </w:r>
      <w:r>
        <w:rPr>
          <w:rFonts w:hint="default" w:ascii="Times New Roman" w:hAnsi="Times New Roman" w:eastAsia="仿宋_GB2312" w:cs="Times New Roman"/>
          <w:b w:val="0"/>
          <w:bCs/>
          <w:kern w:val="0"/>
          <w:sz w:val="32"/>
          <w:szCs w:val="32"/>
          <w:highlight w:val="none"/>
        </w:rPr>
        <w:t>诊疗能力‌。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黑体" w:cs="Times New Roman"/>
          <w:b w:val="0"/>
          <w:bCs/>
          <w:kern w:val="0"/>
          <w:sz w:val="32"/>
          <w:szCs w:val="32"/>
          <w:highlight w:val="none"/>
          <w:lang w:val="en-US" w:eastAsia="zh-CN"/>
        </w:rPr>
      </w:pPr>
      <w:r>
        <w:rPr>
          <w:rFonts w:hint="default" w:ascii="Times New Roman" w:hAnsi="Times New Roman" w:eastAsia="黑体" w:cs="Times New Roman"/>
          <w:b w:val="0"/>
          <w:bCs/>
          <w:kern w:val="0"/>
          <w:sz w:val="32"/>
          <w:szCs w:val="32"/>
          <w:highlight w:val="none"/>
          <w:lang w:val="en-US" w:eastAsia="zh-CN"/>
        </w:rPr>
        <w:t>三、培训时间及方式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楷体_GB2312" w:cs="Times New Roman"/>
          <w:b w:val="0"/>
          <w:bCs/>
          <w:kern w:val="0"/>
          <w:sz w:val="32"/>
          <w:szCs w:val="32"/>
          <w:highlight w:val="none"/>
          <w:lang w:val="en-US" w:eastAsia="zh-CN"/>
        </w:rPr>
      </w:pPr>
      <w:r>
        <w:rPr>
          <w:rFonts w:hint="default" w:ascii="Times New Roman" w:hAnsi="Times New Roman" w:eastAsia="楷体_GB2312" w:cs="Times New Roman"/>
          <w:b w:val="0"/>
          <w:bCs/>
          <w:kern w:val="0"/>
          <w:sz w:val="32"/>
          <w:szCs w:val="32"/>
          <w:highlight w:val="none"/>
          <w:lang w:val="en-US" w:eastAsia="zh-CN"/>
        </w:rPr>
        <w:t>（一）培训时间。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kern w:val="0"/>
          <w:sz w:val="32"/>
          <w:szCs w:val="32"/>
          <w:highlight w:val="none"/>
          <w:lang w:val="en-US" w:eastAsia="zh-CN"/>
        </w:rPr>
        <w:t>培训学时共450至480小时，2026年度考核时间：2026年8月1日至2026年9月30日（不设补考）。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楷体_GB2312" w:cs="Times New Roman"/>
          <w:b w:val="0"/>
          <w:bCs/>
          <w:kern w:val="0"/>
          <w:sz w:val="32"/>
          <w:szCs w:val="32"/>
          <w:highlight w:val="none"/>
          <w:lang w:val="en-US" w:eastAsia="zh-CN"/>
        </w:rPr>
      </w:pPr>
      <w:r>
        <w:rPr>
          <w:rFonts w:hint="default" w:ascii="Times New Roman" w:hAnsi="Times New Roman" w:eastAsia="楷体_GB2312" w:cs="Times New Roman"/>
          <w:b w:val="0"/>
          <w:bCs/>
          <w:sz w:val="32"/>
          <w:szCs w:val="32"/>
          <w:highlight w:val="none"/>
          <w:lang w:eastAsia="zh-CN"/>
        </w:rPr>
        <w:t>（二）</w:t>
      </w:r>
      <w:r>
        <w:rPr>
          <w:rFonts w:hint="default" w:ascii="Times New Roman" w:hAnsi="Times New Roman" w:eastAsia="楷体_GB2312" w:cs="Times New Roman"/>
          <w:b w:val="0"/>
          <w:bCs/>
          <w:kern w:val="0"/>
          <w:sz w:val="32"/>
          <w:szCs w:val="32"/>
          <w:highlight w:val="none"/>
          <w:lang w:val="en-US" w:eastAsia="zh-CN"/>
        </w:rPr>
        <w:t>培训方式。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cs="Times New Roman"/>
          <w:b w:val="0"/>
          <w:bCs/>
          <w:kern w:val="0"/>
          <w:sz w:val="32"/>
          <w:szCs w:val="32"/>
          <w:highlight w:val="none"/>
          <w:lang w:val="en-US" w:eastAsia="zh-CN"/>
        </w:rPr>
        <w:t>本次培训采用线上培训方式。</w:t>
      </w:r>
      <w:r>
        <w:rPr>
          <w:rFonts w:hint="default" w:ascii="Times New Roman" w:hAnsi="Times New Roman" w:eastAsia="仿宋_GB2312" w:cs="Times New Roman"/>
          <w:b w:val="0"/>
          <w:bCs/>
          <w:kern w:val="0"/>
          <w:sz w:val="32"/>
          <w:szCs w:val="32"/>
          <w:highlight w:val="none"/>
          <w:lang w:val="en-US" w:eastAsia="zh-CN"/>
        </w:rPr>
        <w:t>培训人员可登录电脑端网页“</w:t>
      </w:r>
      <w:r>
        <w:rPr>
          <w:rFonts w:hint="default" w:ascii="Times New Roman" w:hAnsi="Times New Roman" w:eastAsia="仿宋_GB2312" w:cs="Times New Roman"/>
          <w:b w:val="0"/>
          <w:bCs/>
          <w:sz w:val="32"/>
          <w:szCs w:val="32"/>
          <w:highlight w:val="none"/>
          <w:lang w:eastAsia="zh-CN"/>
        </w:rPr>
        <w:t>广东省住院医师规范化培训信息管理系统”（https://gd.wsglw.net）或移动端</w:t>
      </w:r>
      <w:r>
        <w:rPr>
          <w:rFonts w:hint="default" w:ascii="Times New Roman" w:hAnsi="Times New Roman" w:eastAsia="仿宋_GB2312" w:cs="Times New Roman"/>
          <w:b w:val="0"/>
          <w:bCs/>
          <w:sz w:val="32"/>
          <w:szCs w:val="32"/>
          <w:highlight w:val="none"/>
          <w:lang w:val="en-US" w:eastAsia="zh-CN"/>
        </w:rPr>
        <w:t>APP</w:t>
      </w:r>
      <w:r>
        <w:rPr>
          <w:rFonts w:hint="default" w:ascii="Times New Roman" w:hAnsi="Times New Roman" w:eastAsia="仿宋_GB2312" w:cs="Times New Roman"/>
          <w:b w:val="0"/>
          <w:bCs/>
          <w:sz w:val="32"/>
          <w:szCs w:val="32"/>
          <w:highlight w:val="none"/>
          <w:lang w:eastAsia="zh-CN"/>
        </w:rPr>
        <w:t>“掌上华医”在线学习及考核。</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sz w:val="32"/>
          <w:szCs w:val="32"/>
          <w:highlight w:val="none"/>
          <w:shd w:val="clear" w:color="auto" w:fill="auto"/>
          <w:lang w:val="en-US" w:eastAsia="zh-CN"/>
        </w:rPr>
        <w:t>培训</w:t>
      </w:r>
      <w:r>
        <w:rPr>
          <w:rFonts w:hint="default" w:ascii="Times New Roman" w:hAnsi="Times New Roman" w:eastAsia="仿宋_GB2312" w:cs="Times New Roman"/>
          <w:i w:val="0"/>
          <w:caps w:val="0"/>
          <w:color w:val="auto"/>
          <w:spacing w:val="0"/>
          <w:sz w:val="32"/>
          <w:szCs w:val="32"/>
          <w:highlight w:val="none"/>
          <w:shd w:val="clear" w:color="auto" w:fill="FFFFFF"/>
          <w:lang w:val="en" w:eastAsia="zh-CN"/>
        </w:rPr>
        <w:t>1年以上的</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在培医师可通过</w:t>
      </w:r>
      <w:r>
        <w:rPr>
          <w:rFonts w:hint="default" w:ascii="Times New Roman" w:hAnsi="Times New Roman" w:eastAsia="仿宋_GB2312" w:cs="Times New Roman"/>
          <w:b w:val="0"/>
          <w:bCs/>
          <w:sz w:val="32"/>
          <w:szCs w:val="32"/>
          <w:highlight w:val="none"/>
          <w:lang w:val="en-US" w:eastAsia="zh-CN"/>
        </w:rPr>
        <w:t>线上岗位培训课程平台直接</w:t>
      </w:r>
      <w:r>
        <w:rPr>
          <w:rFonts w:hint="default" w:ascii="Times New Roman" w:hAnsi="Times New Roman" w:cs="Times New Roman"/>
          <w:b w:val="0"/>
          <w:bCs/>
          <w:sz w:val="32"/>
          <w:szCs w:val="32"/>
          <w:highlight w:val="none"/>
          <w:lang w:val="en-US" w:eastAsia="zh-CN"/>
        </w:rPr>
        <w:t>申</w:t>
      </w:r>
      <w:r>
        <w:rPr>
          <w:rFonts w:hint="default" w:ascii="Times New Roman" w:hAnsi="Times New Roman" w:eastAsia="仿宋_GB2312" w:cs="Times New Roman"/>
          <w:b w:val="0"/>
          <w:bCs/>
          <w:kern w:val="0"/>
          <w:sz w:val="32"/>
          <w:szCs w:val="32"/>
          <w:highlight w:val="none"/>
          <w:lang w:val="en-US" w:eastAsia="zh-CN"/>
        </w:rPr>
        <w:t>请取得《广东省基层住院医师线上岗位培训合格证书》。2026年度申请时间：2026年9月1日至2026年9月30日（逾期不予补申请）。</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eastAsia="zh-CN"/>
        </w:rPr>
        <w:t>培训人员</w:t>
      </w:r>
      <w:r>
        <w:rPr>
          <w:rFonts w:hint="default" w:ascii="Times New Roman" w:hAnsi="Times New Roman" w:eastAsia="仿宋_GB2312" w:cs="Times New Roman"/>
          <w:b w:val="0"/>
          <w:bCs/>
          <w:kern w:val="0"/>
          <w:sz w:val="32"/>
          <w:szCs w:val="32"/>
          <w:highlight w:val="none"/>
          <w:lang w:val="en-US" w:eastAsia="zh-CN"/>
        </w:rPr>
        <w:t>通过</w:t>
      </w:r>
      <w:r>
        <w:rPr>
          <w:rFonts w:hint="default" w:ascii="Times New Roman" w:hAnsi="Times New Roman" w:eastAsia="仿宋_GB2312" w:cs="Times New Roman"/>
          <w:b w:val="0"/>
          <w:bCs/>
          <w:kern w:val="0"/>
          <w:sz w:val="32"/>
          <w:szCs w:val="32"/>
          <w:highlight w:val="none"/>
          <w:lang w:eastAsia="zh-CN"/>
        </w:rPr>
        <w:t>“专题培训考核平台”注册</w:t>
      </w:r>
      <w:r>
        <w:rPr>
          <w:rFonts w:hint="default" w:ascii="Times New Roman" w:hAnsi="Times New Roman" w:eastAsia="仿宋_GB2312" w:cs="Times New Roman"/>
          <w:b w:val="0"/>
          <w:bCs/>
          <w:kern w:val="0"/>
          <w:sz w:val="32"/>
          <w:szCs w:val="32"/>
          <w:highlight w:val="none"/>
          <w:lang w:val="en-US" w:eastAsia="zh-CN"/>
        </w:rPr>
        <w:t>个人</w:t>
      </w:r>
      <w:r>
        <w:rPr>
          <w:rFonts w:hint="default" w:ascii="Times New Roman" w:hAnsi="Times New Roman" w:eastAsia="仿宋_GB2312" w:cs="Times New Roman"/>
          <w:b w:val="0"/>
          <w:bCs/>
          <w:kern w:val="0"/>
          <w:sz w:val="32"/>
          <w:szCs w:val="32"/>
          <w:highlight w:val="none"/>
          <w:lang w:eastAsia="zh-CN"/>
        </w:rPr>
        <w:t>账号，登录系统</w:t>
      </w:r>
      <w:r>
        <w:rPr>
          <w:rFonts w:hint="default" w:ascii="Times New Roman" w:hAnsi="Times New Roman" w:eastAsia="仿宋_GB2312" w:cs="Times New Roman"/>
          <w:b w:val="0"/>
          <w:bCs/>
          <w:kern w:val="0"/>
          <w:sz w:val="32"/>
          <w:szCs w:val="32"/>
          <w:highlight w:val="none"/>
          <w:lang w:val="en-US" w:eastAsia="zh-CN"/>
        </w:rPr>
        <w:t>后应如实</w:t>
      </w:r>
      <w:r>
        <w:rPr>
          <w:rFonts w:hint="default" w:ascii="Times New Roman" w:hAnsi="Times New Roman" w:eastAsia="仿宋_GB2312" w:cs="Times New Roman"/>
          <w:b w:val="0"/>
          <w:bCs/>
          <w:kern w:val="0"/>
          <w:sz w:val="32"/>
          <w:szCs w:val="32"/>
          <w:highlight w:val="none"/>
          <w:lang w:eastAsia="zh-CN"/>
        </w:rPr>
        <w:t>填报个人信息，经所在单位审核后即可参加培训及考核。培训人员所在单位账号</w:t>
      </w:r>
      <w:r>
        <w:rPr>
          <w:rFonts w:hint="default" w:ascii="Times New Roman" w:hAnsi="Times New Roman" w:eastAsia="仿宋_GB2312" w:cs="Times New Roman"/>
          <w:b w:val="0"/>
          <w:bCs/>
          <w:kern w:val="0"/>
          <w:sz w:val="32"/>
          <w:szCs w:val="32"/>
          <w:highlight w:val="none"/>
          <w:lang w:val="en-US" w:eastAsia="zh-CN"/>
        </w:rPr>
        <w:t>由单位</w:t>
      </w:r>
      <w:r>
        <w:rPr>
          <w:rFonts w:hint="default" w:ascii="Times New Roman" w:hAnsi="Times New Roman" w:eastAsia="仿宋_GB2312" w:cs="Times New Roman"/>
          <w:b w:val="0"/>
          <w:bCs/>
          <w:kern w:val="0"/>
          <w:sz w:val="32"/>
          <w:szCs w:val="32"/>
          <w:highlight w:val="none"/>
          <w:lang w:eastAsia="zh-CN"/>
        </w:rPr>
        <w:t>主管部门</w:t>
      </w:r>
      <w:r>
        <w:rPr>
          <w:rFonts w:hint="default" w:ascii="Times New Roman" w:hAnsi="Times New Roman" w:eastAsia="仿宋_GB2312" w:cs="Times New Roman"/>
          <w:b w:val="0"/>
          <w:bCs/>
          <w:kern w:val="0"/>
          <w:sz w:val="32"/>
          <w:szCs w:val="32"/>
          <w:highlight w:val="none"/>
          <w:lang w:val="en-US" w:eastAsia="zh-CN"/>
        </w:rPr>
        <w:t>通过“</w:t>
      </w:r>
      <w:r>
        <w:rPr>
          <w:rFonts w:hint="default" w:ascii="Times New Roman" w:hAnsi="Times New Roman" w:eastAsia="仿宋_GB2312" w:cs="Times New Roman"/>
          <w:b w:val="0"/>
          <w:bCs/>
          <w:kern w:val="0"/>
          <w:sz w:val="32"/>
          <w:szCs w:val="32"/>
          <w:highlight w:val="none"/>
          <w:lang w:eastAsia="zh-CN"/>
        </w:rPr>
        <w:t>广东省住院医师规范化培训信息管理系统”注册管理员账号并添加分配。</w:t>
      </w:r>
      <w:r>
        <w:rPr>
          <w:rFonts w:hint="default" w:ascii="Times New Roman" w:hAnsi="Times New Roman" w:eastAsia="仿宋_GB2312" w:cs="Times New Roman"/>
          <w:b w:val="0"/>
          <w:bCs/>
          <w:kern w:val="0"/>
          <w:sz w:val="32"/>
          <w:szCs w:val="32"/>
          <w:highlight w:val="none"/>
          <w:lang w:val="en-US" w:eastAsia="zh-CN"/>
        </w:rPr>
        <w:t>培训人员</w:t>
      </w:r>
      <w:r>
        <w:rPr>
          <w:rFonts w:hint="default" w:ascii="Times New Roman" w:hAnsi="Times New Roman" w:eastAsia="仿宋_GB2312" w:cs="Times New Roman"/>
          <w:b w:val="0"/>
          <w:bCs/>
          <w:kern w:val="0"/>
          <w:sz w:val="32"/>
          <w:szCs w:val="32"/>
          <w:highlight w:val="none"/>
          <w:lang w:eastAsia="zh-CN"/>
        </w:rPr>
        <w:t>所在单位</w:t>
      </w:r>
      <w:r>
        <w:rPr>
          <w:rFonts w:hint="default" w:ascii="Times New Roman" w:hAnsi="Times New Roman" w:eastAsia="仿宋_GB2312" w:cs="Times New Roman"/>
          <w:b w:val="0"/>
          <w:bCs/>
          <w:kern w:val="0"/>
          <w:sz w:val="32"/>
          <w:szCs w:val="32"/>
          <w:highlight w:val="none"/>
          <w:lang w:val="en-US" w:eastAsia="zh-CN"/>
        </w:rPr>
        <w:t>应认真</w:t>
      </w:r>
      <w:r>
        <w:rPr>
          <w:rFonts w:hint="default" w:ascii="Times New Roman" w:hAnsi="Times New Roman" w:eastAsia="仿宋_GB2312" w:cs="Times New Roman"/>
          <w:b w:val="0"/>
          <w:bCs/>
          <w:kern w:val="0"/>
          <w:sz w:val="32"/>
          <w:szCs w:val="32"/>
          <w:highlight w:val="none"/>
          <w:lang w:eastAsia="zh-CN"/>
        </w:rPr>
        <w:t>审核</w:t>
      </w:r>
      <w:r>
        <w:rPr>
          <w:rFonts w:hint="default" w:ascii="Times New Roman" w:hAnsi="Times New Roman" w:eastAsia="仿宋_GB2312" w:cs="Times New Roman"/>
          <w:b w:val="0"/>
          <w:bCs/>
          <w:kern w:val="0"/>
          <w:sz w:val="32"/>
          <w:szCs w:val="32"/>
          <w:highlight w:val="none"/>
          <w:lang w:val="en-US" w:eastAsia="zh-CN"/>
        </w:rPr>
        <w:t>参培人员信息</w:t>
      </w:r>
      <w:r>
        <w:rPr>
          <w:rFonts w:hint="default" w:ascii="Times New Roman" w:hAnsi="Times New Roman" w:eastAsia="仿宋_GB2312" w:cs="Times New Roman"/>
          <w:b w:val="0"/>
          <w:bCs/>
          <w:kern w:val="0"/>
          <w:sz w:val="32"/>
          <w:szCs w:val="32"/>
          <w:highlight w:val="none"/>
          <w:lang w:eastAsia="zh-CN"/>
        </w:rPr>
        <w:t>，确保</w:t>
      </w:r>
      <w:r>
        <w:rPr>
          <w:rFonts w:hint="default" w:ascii="Times New Roman" w:hAnsi="Times New Roman" w:eastAsia="仿宋_GB2312" w:cs="Times New Roman"/>
          <w:b w:val="0"/>
          <w:bCs/>
          <w:kern w:val="0"/>
          <w:sz w:val="32"/>
          <w:szCs w:val="32"/>
          <w:highlight w:val="none"/>
          <w:lang w:val="en-US" w:eastAsia="zh-CN"/>
        </w:rPr>
        <w:t>人员符合参培条件且</w:t>
      </w:r>
      <w:r>
        <w:rPr>
          <w:rFonts w:hint="default" w:ascii="Times New Roman" w:hAnsi="Times New Roman" w:eastAsia="仿宋_GB2312" w:cs="Times New Roman"/>
          <w:b w:val="0"/>
          <w:bCs/>
          <w:kern w:val="0"/>
          <w:sz w:val="32"/>
          <w:szCs w:val="32"/>
          <w:highlight w:val="none"/>
          <w:lang w:eastAsia="zh-CN"/>
        </w:rPr>
        <w:t>信息真实准确，个人</w:t>
      </w:r>
      <w:r>
        <w:rPr>
          <w:rFonts w:hint="default" w:ascii="Times New Roman" w:hAnsi="Times New Roman" w:eastAsia="仿宋_GB2312" w:cs="Times New Roman"/>
          <w:b w:val="0"/>
          <w:bCs/>
          <w:kern w:val="0"/>
          <w:sz w:val="32"/>
          <w:szCs w:val="32"/>
          <w:highlight w:val="none"/>
          <w:lang w:val="en-US" w:eastAsia="zh-CN"/>
        </w:rPr>
        <w:t>填报</w:t>
      </w:r>
      <w:r>
        <w:rPr>
          <w:rFonts w:hint="default" w:ascii="Times New Roman" w:hAnsi="Times New Roman" w:eastAsia="仿宋_GB2312" w:cs="Times New Roman"/>
          <w:b w:val="0"/>
          <w:bCs/>
          <w:kern w:val="0"/>
          <w:sz w:val="32"/>
          <w:szCs w:val="32"/>
          <w:highlight w:val="none"/>
          <w:lang w:eastAsia="zh-CN"/>
        </w:rPr>
        <w:t>信息将作为制证依据，原则上不予修改。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黑体" w:cs="Times New Roman"/>
          <w:b w:val="0"/>
          <w:bCs/>
          <w:kern w:val="0"/>
          <w:sz w:val="32"/>
          <w:szCs w:val="32"/>
          <w:highlight w:val="none"/>
          <w:lang w:val="en-US" w:eastAsia="zh-CN"/>
        </w:rPr>
      </w:pPr>
      <w:r>
        <w:rPr>
          <w:rFonts w:hint="default" w:ascii="Times New Roman" w:hAnsi="Times New Roman" w:eastAsia="黑体" w:cs="Times New Roman"/>
          <w:b w:val="0"/>
          <w:bCs/>
          <w:kern w:val="0"/>
          <w:sz w:val="32"/>
          <w:szCs w:val="32"/>
          <w:highlight w:val="none"/>
          <w:lang w:val="en-US" w:eastAsia="zh-CN"/>
        </w:rPr>
        <w:t>四、证书发放及使用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培训人员完成所有学时及课程练习后，按要求在规定时间内参加线上培训结业考核，考核合格后可获得《广东省基层住院医师线上岗位培训合格证书》（电子版），2026年度合格证书于2026年11月1日至11月15日统一发放，由培训人员自行登录系统下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广东省基层住院医师线上岗位培训合格证书》不等同于《住院医师规范化培训合格证书》，仅适用于培训人员参加我省卫生专业技术资格考试（中级），可视同《住院医师规范化培训合格证书》作为报考材料，不作其他用途。</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0"/>
        <w:textAlignment w:val="auto"/>
        <w:rPr>
          <w:rFonts w:hint="default" w:ascii="Times New Roman" w:hAnsi="Times New Roman" w:eastAsia="仿宋_GB2312" w:cs="Times New Roman"/>
          <w:b w:val="0"/>
          <w:bCs/>
          <w:kern w:val="0"/>
          <w:sz w:val="32"/>
          <w:szCs w:val="32"/>
          <w:highlight w:val="none"/>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outlineLvl w:val="9"/>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eastAsia="zh-CN"/>
        </w:rPr>
        <w:t>附件：</w:t>
      </w:r>
      <w:r>
        <w:rPr>
          <w:rFonts w:hint="default" w:ascii="Times New Roman" w:hAnsi="Times New Roman" w:eastAsia="仿宋_GB2312" w:cs="Times New Roman"/>
          <w:b w:val="0"/>
          <w:bCs/>
          <w:sz w:val="32"/>
          <w:szCs w:val="32"/>
          <w:highlight w:val="none"/>
          <w:lang w:val="en-US" w:eastAsia="zh-CN"/>
        </w:rPr>
        <w:t>合格证书（样式）</w:t>
      </w:r>
    </w:p>
    <w:p>
      <w:pPr>
        <w:keepNext w:val="0"/>
        <w:keepLines w:val="0"/>
        <w:pageBreakBefore w:val="0"/>
        <w:widowControl w:val="0"/>
        <w:kinsoku/>
        <w:wordWrap/>
        <w:overflowPunct/>
        <w:topLinePunct w:val="0"/>
        <w:autoSpaceDE/>
        <w:autoSpaceDN/>
        <w:bidi w:val="0"/>
        <w:adjustRightInd/>
        <w:snapToGrid/>
        <w:spacing w:line="560" w:lineRule="exact"/>
        <w:ind w:left="0" w:firstLine="0"/>
        <w:textAlignment w:val="auto"/>
        <w:rPr>
          <w:rFonts w:hint="default" w:ascii="Times New Roman" w:hAnsi="Times New Roman" w:eastAsia="黑体" w:cs="Times New Roman"/>
          <w:b w:val="0"/>
          <w:bCs/>
          <w:sz w:val="32"/>
          <w:szCs w:val="32"/>
          <w:highlight w:val="none"/>
          <w:lang w:eastAsia="zh-CN"/>
        </w:rPr>
        <w:sectPr>
          <w:footerReference r:id="rId3" w:type="default"/>
          <w:pgSz w:w="11906" w:h="16838"/>
          <w:pgMar w:top="2041" w:right="1531" w:bottom="2041" w:left="1531" w:header="851" w:footer="1332" w:gutter="0"/>
          <w:pgNumType w:fmt="numberInDash"/>
          <w:cols w:space="720" w:num="1"/>
          <w:rtlGutter w:val="0"/>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w:hAnsi="Times New Roman" w:eastAsia="仿宋_GB2312" w:cs="Times New Roman"/>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合格证书（样式）</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cs="Times New Roman"/>
          <w:sz w:val="32"/>
          <w:highlight w:val="none"/>
        </w:rPr>
        <w:drawing>
          <wp:anchor distT="0" distB="0" distL="114300" distR="114300" simplePos="0" relativeHeight="251662336" behindDoc="0" locked="0" layoutInCell="1" allowOverlap="1">
            <wp:simplePos x="0" y="0"/>
            <wp:positionH relativeFrom="column">
              <wp:posOffset>130175</wp:posOffset>
            </wp:positionH>
            <wp:positionV relativeFrom="paragraph">
              <wp:posOffset>349250</wp:posOffset>
            </wp:positionV>
            <wp:extent cx="5611495" cy="3903980"/>
            <wp:effectExtent l="0" t="0" r="8255" b="1270"/>
            <wp:wrapNone/>
            <wp:docPr id="2" name="图片 8" descr="C:\Users\Administrator.KJC-TUZJ\Desktop\mmexport1732092890415.jpgmmexport173209289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C:\Users\Administrator.KJC-TUZJ\Desktop\mmexport1732092890415.jpgmmexport1732092890415"/>
                    <pic:cNvPicPr>
                      <a:picLocks noChangeAspect="1"/>
                    </pic:cNvPicPr>
                  </pic:nvPicPr>
                  <pic:blipFill>
                    <a:blip r:embed="rId5"/>
                    <a:stretch>
                      <a:fillRect/>
                    </a:stretch>
                  </pic:blipFill>
                  <pic:spPr>
                    <a:xfrm>
                      <a:off x="0" y="0"/>
                      <a:ext cx="5611495" cy="3903980"/>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r>
        <w:rPr>
          <w:rFonts w:hint="default" w:ascii="Times New Roman" w:hAnsi="Times New Roman" w:cs="Times New Roman"/>
          <w:sz w:val="32"/>
          <w:highlight w:val="none"/>
        </w:rPr>
        <mc:AlternateContent>
          <mc:Choice Requires="wps">
            <w:drawing>
              <wp:anchor distT="0" distB="0" distL="114300" distR="114300" simplePos="0" relativeHeight="251661312" behindDoc="0" locked="0" layoutInCell="1" allowOverlap="1">
                <wp:simplePos x="0" y="0"/>
                <wp:positionH relativeFrom="column">
                  <wp:posOffset>2660650</wp:posOffset>
                </wp:positionH>
                <wp:positionV relativeFrom="paragraph">
                  <wp:posOffset>1694815</wp:posOffset>
                </wp:positionV>
                <wp:extent cx="1371600" cy="152400"/>
                <wp:effectExtent l="0" t="0" r="0" b="0"/>
                <wp:wrapNone/>
                <wp:docPr id="5" name="矩形 5"/>
                <wp:cNvGraphicFramePr/>
                <a:graphic xmlns:a="http://schemas.openxmlformats.org/drawingml/2006/main">
                  <a:graphicData uri="http://schemas.microsoft.com/office/word/2010/wordprocessingShape">
                    <wps:wsp>
                      <wps:cNvSpPr/>
                      <wps:spPr>
                        <a:xfrm>
                          <a:off x="0" y="0"/>
                          <a:ext cx="1371600" cy="1524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09.5pt;margin-top:133.45pt;height:12pt;width:108pt;z-index:251661312;mso-width-relative:page;mso-height-relative:page;" fillcolor="#FFFFFF" filled="t" stroked="f" coordsize="21600,21600" o:gfxdata="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AhVHC&#10;2AAAAAsBAAAPAAAAAAAAAAEAIAAAACIAAABkcnMvZG93bnJldi54bWxQSwECFAAUAAAACACHTuJA&#10;vnVQJK8BAABfAwAADgAAAAAAAAABACAAAAAnAQAAZHJzL2Uyb0RvYy54bWxQSwUGAAAAAAYABgBZ&#10;AQAASAUAAAAA&#10;">
                <v:fill on="t" focussize="0,0"/>
                <v:stroke on="f"/>
                <v:imagedata o:title=""/>
                <o:lock v:ext="edit" aspectratio="f"/>
              </v:rect>
            </w:pict>
          </mc:Fallback>
        </mc:AlternateContent>
      </w:r>
      <w:r>
        <w:rPr>
          <w:rFonts w:hint="default" w:ascii="Times New Roman" w:hAnsi="Times New Roman" w:cs="Times New Roman"/>
          <w:sz w:val="32"/>
          <w:highlight w:val="none"/>
        </w:rPr>
        <mc:AlternateContent>
          <mc:Choice Requires="wps">
            <w:drawing>
              <wp:anchor distT="0" distB="0" distL="114300" distR="114300" simplePos="0" relativeHeight="251660288" behindDoc="0" locked="0" layoutInCell="1" allowOverlap="1">
                <wp:simplePos x="0" y="0"/>
                <wp:positionH relativeFrom="column">
                  <wp:posOffset>3270250</wp:posOffset>
                </wp:positionH>
                <wp:positionV relativeFrom="paragraph">
                  <wp:posOffset>1456690</wp:posOffset>
                </wp:positionV>
                <wp:extent cx="1333500" cy="133350"/>
                <wp:effectExtent l="0" t="0" r="0" b="0"/>
                <wp:wrapNone/>
                <wp:docPr id="4" name="矩形 4"/>
                <wp:cNvGraphicFramePr/>
                <a:graphic xmlns:a="http://schemas.openxmlformats.org/drawingml/2006/main">
                  <a:graphicData uri="http://schemas.microsoft.com/office/word/2010/wordprocessingShape">
                    <wps:wsp>
                      <wps:cNvSpPr/>
                      <wps:spPr>
                        <a:xfrm>
                          <a:off x="0" y="0"/>
                          <a:ext cx="1333500" cy="1333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57.5pt;margin-top:114.7pt;height:10.5pt;width:105pt;z-index:251660288;mso-width-relative:page;mso-height-relative:page;" fillcolor="#FFFFFF" filled="t" stroked="f" coordsize="21600,21600" o:gfxdata="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Gg3iO2AAA&#10;AAsBAAAPAAAAAAAAAAEAIAAAACIAAABkcnMvZG93bnJldi54bWxQSwECFAAUAAAACACHTuJAgmuv&#10;CawBAABfAwAADgAAAAAAAAABACAAAAAnAQAAZHJzL2Uyb0RvYy54bWxQSwUGAAAAAAYABgBZAQAA&#10;RQUAAAAA&#10;">
                <v:fill on="t" focussize="0,0"/>
                <v:stroke on="f"/>
                <v:imagedata o:title=""/>
                <o:lock v:ext="edit" aspectratio="f"/>
              </v:rect>
            </w:pict>
          </mc:Fallback>
        </mc:AlternateContent>
      </w:r>
      <w:r>
        <w:rPr>
          <w:rFonts w:hint="default" w:ascii="Times New Roman" w:hAnsi="Times New Roman" w:cs="Times New Roman"/>
          <w:sz w:val="28"/>
          <w:highlight w:val="none"/>
        </w:rPr>
        <mc:AlternateContent>
          <mc:Choice Requires="wps">
            <w:drawing>
              <wp:anchor distT="0" distB="0" distL="114300" distR="114300" simplePos="0" relativeHeight="251659264" behindDoc="0" locked="0" layoutInCell="1" allowOverlap="1">
                <wp:simplePos x="0" y="0"/>
                <wp:positionH relativeFrom="column">
                  <wp:posOffset>1384300</wp:posOffset>
                </wp:positionH>
                <wp:positionV relativeFrom="paragraph">
                  <wp:posOffset>1443355</wp:posOffset>
                </wp:positionV>
                <wp:extent cx="714375" cy="171450"/>
                <wp:effectExtent l="0" t="0" r="9525" b="0"/>
                <wp:wrapNone/>
                <wp:docPr id="1" name="矩形 1"/>
                <wp:cNvGraphicFramePr/>
                <a:graphic xmlns:a="http://schemas.openxmlformats.org/drawingml/2006/main">
                  <a:graphicData uri="http://schemas.microsoft.com/office/word/2010/wordprocessingShape">
                    <wps:wsp>
                      <wps:cNvSpPr/>
                      <wps:spPr>
                        <a:xfrm>
                          <a:off x="0" y="0"/>
                          <a:ext cx="714375" cy="1714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09pt;margin-top:113.65pt;height:13.5pt;width:56.25pt;z-index:251659264;mso-width-relative:page;mso-height-relative:page;" fillcolor="#FFFFFF" filled="t" stroked="f" coordsize="21600,21600" o:gfxdata="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I0&#10;cFbZAAAACwEAAA8AAAAAAAAAAQAgAAAAIgAAAGRycy9kb3ducmV2LnhtbFBLAQIUABQAAAAIAIdO&#10;4kBYJuTGsAEAAF4DAAAOAAAAAAAAAAEAIAAAACgBAABkcnMvZTJvRG9jLnhtbFBLBQYAAAAABgAG&#10;AFkBAABKBQAAAAA=&#10;">
                <v:fill on="t" focussize="0,0"/>
                <v:stroke on="f"/>
                <v:imagedata o:title=""/>
                <o:lock v:ext="edit" aspectratio="f"/>
              </v:rect>
            </w:pict>
          </mc:Fallback>
        </mc:AlternateConten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D5855"/>
    <w:rsid w:val="50A81D40"/>
    <w:rsid w:val="6D5D5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Lines="0" w:beforeAutospacing="1" w:after="100" w:afterLines="0" w:afterAutospacing="1"/>
      <w:jc w:val="left"/>
    </w:pPr>
    <w:rPr>
      <w:rFonts w:ascii="宋体" w:hAnsi="宋体" w:eastAsia="宋体" w:cs="Times New Roman"/>
      <w:kern w:val="0"/>
      <w:sz w:val="24"/>
      <w:szCs w:val="24"/>
      <w:lang w:bidi="ar-SA"/>
    </w:rPr>
  </w:style>
  <w:style w:type="paragraph" w:styleId="3">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2025-12-01T08:11:00Z</dcterms:created>
  <dc:creator>邻家的小胖妞</dc:creator>
  <cp:lastModifiedBy>Administrator</cp:lastModifiedBy>
  <dcterms:modified xsi:type="dcterms:W3CDTF">2025-12-01T10:47:50Z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2B4FD6A4500F46F9AFB9B71438FFD869_11</vt:lpwstr>
  </property>
  <property fmtid="{D5CDD505-2E9C-101B-9397-08002B2CF9AE}" pid="4" name="KSOTemplateDocerSaveRecord">
    <vt:lpwstr>eyJoZGlkIjoiNjlhNjViYTI3NGVhODM4NTQwNTk1ZTRmZWE2YmRiN2YiLCJ1c2VySWQiOiIzMDYzOTk2NTcifQ==</vt:lpwstr>
  </property>
</Properties>
</file>