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90F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jc w:val="left"/>
        <w:textAlignment w:val="auto"/>
        <w:rPr>
          <w:rFonts w:hint="eastAsia" w:ascii="黑体" w:hAnsi="黑体" w:eastAsia="黑体" w:cs="黑体"/>
          <w:i w:val="0"/>
          <w:iCs w:val="0"/>
          <w:caps w:val="0"/>
          <w:color w:val="191919"/>
          <w:spacing w:val="0"/>
          <w:sz w:val="32"/>
          <w:szCs w:val="32"/>
          <w:shd w:val="clear" w:color="auto" w:fill="FFFFFF"/>
        </w:rPr>
      </w:pPr>
      <w:r>
        <w:rPr>
          <w:rFonts w:hint="eastAsia" w:ascii="黑体" w:hAnsi="黑体" w:eastAsia="黑体" w:cs="黑体"/>
          <w:i w:val="0"/>
          <w:iCs w:val="0"/>
          <w:caps w:val="0"/>
          <w:color w:val="191919"/>
          <w:spacing w:val="0"/>
          <w:sz w:val="32"/>
          <w:szCs w:val="32"/>
          <w:shd w:val="clear" w:color="auto" w:fill="FFFFFF"/>
        </w:rPr>
        <w:t>附件1：</w:t>
      </w:r>
    </w:p>
    <w:p w14:paraId="41D630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jc w:val="center"/>
        <w:textAlignment w:val="auto"/>
        <w:rPr>
          <w:rFonts w:hint="eastAsia" w:ascii="仿宋_GB2312" w:hAnsi="仿宋_GB2312" w:eastAsia="仿宋_GB2312" w:cs="仿宋_GB2312"/>
          <w:b/>
          <w:bCs/>
          <w:spacing w:val="9"/>
          <w:sz w:val="44"/>
          <w:szCs w:val="44"/>
        </w:rPr>
      </w:pPr>
    </w:p>
    <w:p w14:paraId="736282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jc w:val="center"/>
        <w:textAlignment w:val="auto"/>
        <w:rPr>
          <w:rFonts w:hint="eastAsia" w:ascii="仿宋_GB2312" w:hAnsi="仿宋_GB2312" w:eastAsia="仿宋_GB2312" w:cs="仿宋_GB2312"/>
          <w:b/>
          <w:bCs/>
          <w:i w:val="0"/>
          <w:iCs w:val="0"/>
          <w:caps w:val="0"/>
          <w:color w:val="191919"/>
          <w:spacing w:val="0"/>
          <w:sz w:val="44"/>
          <w:szCs w:val="44"/>
          <w:shd w:val="clear" w:color="auto" w:fill="FFFFFF"/>
        </w:rPr>
      </w:pPr>
      <w:r>
        <w:rPr>
          <w:rFonts w:hint="eastAsia" w:ascii="仿宋_GB2312" w:hAnsi="仿宋_GB2312" w:eastAsia="仿宋_GB2312" w:cs="仿宋_GB2312"/>
          <w:b/>
          <w:bCs/>
          <w:spacing w:val="9"/>
          <w:sz w:val="44"/>
          <w:szCs w:val="44"/>
        </w:rPr>
        <w:t>广东省消防安全重点单位界定标准</w:t>
      </w:r>
    </w:p>
    <w:p w14:paraId="6E8929C4">
      <w:pPr>
        <w:ind w:firstLine="435"/>
        <w:rPr>
          <w:rFonts w:hint="eastAsia" w:ascii="黑体" w:hAnsi="黑体" w:eastAsia="黑体" w:cs="黑体"/>
          <w:snapToGrid w:val="0"/>
          <w:color w:val="000000"/>
          <w:spacing w:val="6"/>
          <w:kern w:val="0"/>
          <w:sz w:val="31"/>
          <w:szCs w:val="31"/>
          <w:lang w:eastAsia="en-US"/>
        </w:rPr>
      </w:pPr>
    </w:p>
    <w:p w14:paraId="68F2E265">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黑体" w:hAnsi="黑体" w:eastAsia="黑体" w:cs="黑体"/>
          <w:snapToGrid w:val="0"/>
          <w:color w:val="000000"/>
          <w:spacing w:val="6"/>
          <w:kern w:val="0"/>
          <w:sz w:val="31"/>
          <w:szCs w:val="31"/>
          <w:lang w:eastAsia="en-US"/>
        </w:rPr>
        <w:t>一、重要公共建筑：</w:t>
      </w:r>
    </w:p>
    <w:p w14:paraId="17BF728E">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一）地市级及以上的党委、人大、政府、政协、人民检察院、人民法院。</w:t>
      </w:r>
    </w:p>
    <w:p w14:paraId="16252BC9">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二）设计使用人数或座位数超过 1500 人（座）的体育馆、会堂、影剧院、公共娱乐场所、证券交易所等公共室内场所。</w:t>
      </w:r>
    </w:p>
    <w:p w14:paraId="2FBF5B0B">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（三）藏书量超过 50 万册的图书馆。</w:t>
      </w:r>
    </w:p>
    <w:p w14:paraId="7A4B05FC">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（四）地市级及以上，且设有不可移动建筑物的文物保护单位。</w:t>
      </w:r>
    </w:p>
    <w:p w14:paraId="6FA66108">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（五）地市级及以上博物馆、展览馆、档案馆。</w:t>
      </w:r>
    </w:p>
    <w:p w14:paraId="074E4A6B">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（六）省级及以上的银行等金融机构。</w:t>
      </w:r>
    </w:p>
    <w:p w14:paraId="72DE9E09">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（七）省级及以上的广播电视台。</w:t>
      </w:r>
    </w:p>
    <w:p w14:paraId="5E36288E">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（八）住宿人数超过 500 人的寄宿制学校。</w:t>
      </w:r>
    </w:p>
    <w:p w14:paraId="17F4E882">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（九）使用人数超过 200 人的幼儿园、托儿所、残障人员康复设施；</w:t>
      </w:r>
    </w:p>
    <w:p w14:paraId="79C2D509">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（十）150 张床位及以上的医院、老年人照料设施。</w:t>
      </w:r>
    </w:p>
    <w:p w14:paraId="7EDB4C25">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（十一）地下轨道交通车辆段、基地、控制中心和 2 条线路及以上的换乘枢纽站点。</w:t>
      </w:r>
    </w:p>
    <w:p w14:paraId="4E92A8D2">
      <w:pPr>
        <w:ind w:firstLine="435"/>
        <w:rPr>
          <w:rFonts w:hint="eastAsia" w:ascii="黑体" w:hAnsi="黑体" w:eastAsia="黑体" w:cs="黑体"/>
          <w:snapToGrid w:val="0"/>
          <w:color w:val="000000"/>
          <w:spacing w:val="6"/>
          <w:kern w:val="0"/>
          <w:sz w:val="31"/>
          <w:szCs w:val="31"/>
          <w:lang w:eastAsia="en-US"/>
        </w:rPr>
      </w:pPr>
      <w:r>
        <w:rPr>
          <w:rFonts w:hint="eastAsia" w:ascii="黑体" w:hAnsi="黑体" w:eastAsia="黑体" w:cs="黑体"/>
          <w:snapToGrid w:val="0"/>
          <w:color w:val="000000"/>
          <w:spacing w:val="6"/>
          <w:kern w:val="0"/>
          <w:sz w:val="31"/>
          <w:szCs w:val="31"/>
          <w:lang w:eastAsia="en-US"/>
        </w:rPr>
        <w:t>二、其他公共建筑：</w:t>
      </w:r>
    </w:p>
    <w:p w14:paraId="10B5B830">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（十二）一类高层公共建筑。</w:t>
      </w:r>
    </w:p>
    <w:p w14:paraId="23E258EF">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（十三）任一层建筑面积大于 1500 平方米或总建筑面积大于 3000 平方米的商店（商场）建筑（包含但不限于商业综合体、步行街、商店、市场、商业综合楼等）。</w:t>
      </w:r>
    </w:p>
    <w:p w14:paraId="379C5C78">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（十四）任一层建筑面积大于 1500 平方米或总面积大于3000 平方米的宾馆。</w:t>
      </w:r>
    </w:p>
    <w:p w14:paraId="0ADE9935">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（十五）任一层建筑面积大于 1500 平方米或总建筑面积大于 3000 平方米的餐饮场所（饭店）。</w:t>
      </w:r>
    </w:p>
    <w:p w14:paraId="077B92E7">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（十六）候车厅、候船厅任一层建筑面积大于 1500 平方米或总建筑面积大于 3000 平方米的客运车站和客运码头；</w:t>
      </w:r>
    </w:p>
    <w:p w14:paraId="2D2E1C0F">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（十七） 民用机场。</w:t>
      </w:r>
    </w:p>
    <w:p w14:paraId="23B41133">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（十八）建筑面积大于 1500 平方米的城镇邮政、通信枢纽单位。</w:t>
      </w:r>
    </w:p>
    <w:p w14:paraId="1E38D2D1">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（十九）国家和省级重点工程施工现场。</w:t>
      </w:r>
    </w:p>
    <w:p w14:paraId="6108DCD5">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二十）部属、省属科研单位</w:t>
      </w:r>
    </w:p>
    <w:p w14:paraId="23D56CAE">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二十一）建筑面积在 3000 平方米以上的大型游客服务中心、大型高速公路服务区；</w:t>
      </w:r>
    </w:p>
    <w:p w14:paraId="13BF847E">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二十二）监狱和司法行政戒毒所</w:t>
      </w:r>
    </w:p>
    <w:p w14:paraId="2AB7BD9D">
      <w:pPr>
        <w:ind w:firstLine="435"/>
        <w:rPr>
          <w:rFonts w:hint="eastAsia" w:ascii="黑体" w:hAnsi="黑体" w:eastAsia="黑体" w:cs="黑体"/>
          <w:snapToGrid w:val="0"/>
          <w:color w:val="000000"/>
          <w:spacing w:val="6"/>
          <w:kern w:val="0"/>
          <w:sz w:val="31"/>
          <w:szCs w:val="31"/>
          <w:lang w:eastAsia="en-US"/>
        </w:rPr>
      </w:pPr>
      <w:r>
        <w:rPr>
          <w:rFonts w:hint="eastAsia" w:ascii="黑体" w:hAnsi="黑体" w:eastAsia="黑体" w:cs="黑体"/>
          <w:snapToGrid w:val="0"/>
          <w:color w:val="000000"/>
          <w:spacing w:val="6"/>
          <w:kern w:val="0"/>
          <w:sz w:val="31"/>
          <w:szCs w:val="31"/>
          <w:lang w:eastAsia="en-US"/>
        </w:rPr>
        <w:t>三、工业建筑：</w:t>
      </w:r>
    </w:p>
    <w:p w14:paraId="647FAF76">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二十三）装机容量 200MW 以上的火力发电厂，电压 220kv 以上的地区变电站、换流站</w:t>
      </w:r>
      <w:bookmarkStart w:id="0" w:name="_GoBack"/>
      <w:bookmarkEnd w:id="0"/>
      <w:r>
        <w:rPr>
          <w:rFonts w:hint="eastAsia" w:ascii="仿宋_GB2312" w:hAnsi="仿宋_GB2312" w:eastAsia="仿宋_GB2312" w:cs="仿宋_GB2312"/>
          <w:i w:val="0"/>
          <w:iCs w:val="0"/>
          <w:caps w:val="0"/>
          <w:color w:val="191919"/>
          <w:spacing w:val="0"/>
          <w:sz w:val="32"/>
          <w:szCs w:val="32"/>
          <w:shd w:val="clear" w:color="auto" w:fill="FFFFFF"/>
        </w:rPr>
        <w:t>，二级以上国家电网公司，设区的市级以上电力调度中心。</w:t>
      </w:r>
    </w:p>
    <w:p w14:paraId="416359EF">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二十四）设有单体建筑面积大于 2000 平方米的甲类厂房， 或者单体建筑面积大于 6000 平方米的乙类厂房，或者单体建筑面积大于 3000 平方米乙类高层厂房的企业。</w:t>
      </w:r>
    </w:p>
    <w:p w14:paraId="16DE9CD8">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二十五） 日装瓶数量大于 3000 瓶的液化石油气储配站。</w:t>
      </w:r>
    </w:p>
    <w:p w14:paraId="3BC86F41">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二十六）设有占地面积大于 300 平方米的甲、 乙类仓库， 占地面积大于 1500 平方米或者总建筑面积大于 3000 平方米丙类仓库的企业。</w:t>
      </w:r>
    </w:p>
    <w:p w14:paraId="76F7E8B1">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二十七）装置设备、罐区、建筑区占地面积大于 10000 平方米的易燃易爆化学物品生产、充装、储存、供应、销售企业；</w:t>
      </w:r>
    </w:p>
    <w:p w14:paraId="7CD7926A">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二十八）同一建筑内员工在 100 人以上的服装、鞋帽、玩 具、食品加工、电子生产、医药、家具、电镀等劳动密集型生产、加工企业。</w:t>
      </w:r>
    </w:p>
    <w:p w14:paraId="2D70BDCC">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 二十九）国家储备粮库、总储量在 10000 吨以上的其他粮库。</w:t>
      </w:r>
    </w:p>
    <w:p w14:paraId="1174DB67">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（三十）设有总储量 500 吨以上棉库的企业。</w:t>
      </w:r>
    </w:p>
    <w:p w14:paraId="2C1924B8">
      <w:pPr>
        <w:ind w:firstLine="435"/>
        <w:rPr>
          <w:rFonts w:hint="eastAsia" w:ascii="仿宋_GB2312" w:hAnsi="仿宋_GB2312" w:eastAsia="仿宋_GB2312" w:cs="仿宋_GB2312"/>
          <w:i w:val="0"/>
          <w:iCs w:val="0"/>
          <w:caps w:val="0"/>
          <w:color w:val="191919"/>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color="auto" w:fill="FFFFFF"/>
        </w:rPr>
        <w:t>（三十一）设有总储量 10000 立方米以上木材堆场的企业。</w:t>
      </w:r>
    </w:p>
    <w:p w14:paraId="79165B6A">
      <w:pPr>
        <w:ind w:firstLine="435"/>
        <w:rPr>
          <w:rFonts w:hint="eastAsia" w:ascii="黑体" w:hAnsi="黑体" w:eastAsia="黑体" w:cs="黑体"/>
          <w:snapToGrid w:val="0"/>
          <w:color w:val="000000"/>
          <w:spacing w:val="6"/>
          <w:kern w:val="0"/>
          <w:sz w:val="31"/>
          <w:szCs w:val="31"/>
          <w:lang w:eastAsia="en-US"/>
        </w:rPr>
      </w:pPr>
      <w:r>
        <w:rPr>
          <w:rFonts w:hint="eastAsia" w:ascii="黑体" w:hAnsi="黑体" w:eastAsia="黑体" w:cs="黑体"/>
          <w:snapToGrid w:val="0"/>
          <w:color w:val="000000"/>
          <w:spacing w:val="6"/>
          <w:kern w:val="0"/>
          <w:sz w:val="31"/>
          <w:szCs w:val="31"/>
          <w:lang w:eastAsia="en-US"/>
        </w:rPr>
        <w:t>四、其他发生火灾可能性较大以及一旦发生火灾可能造成重大人身伤亡或者财产损失的单位：</w:t>
      </w:r>
    </w:p>
    <w:p w14:paraId="6FFE082E">
      <w:pPr>
        <w:spacing w:line="57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i w:val="0"/>
          <w:iCs w:val="0"/>
          <w:caps w:val="0"/>
          <w:color w:val="191919"/>
          <w:spacing w:val="0"/>
          <w:sz w:val="32"/>
          <w:szCs w:val="32"/>
          <w:shd w:val="clear" w:color="auto" w:fill="FFFFFF"/>
        </w:rPr>
        <w:t>（三十二）大型矿山企业。</w:t>
      </w:r>
    </w:p>
    <w:p w14:paraId="74A681A9">
      <w:pPr>
        <w:adjustRightInd w:val="0"/>
        <w:snapToGrid w:val="0"/>
        <w:spacing w:line="594" w:lineRule="exact"/>
        <w:rPr>
          <w:rFonts w:ascii="黑体" w:eastAsia="黑体"/>
          <w:sz w:val="32"/>
          <w:szCs w:val="32"/>
        </w:rPr>
      </w:pPr>
      <w:r>
        <w:rPr>
          <w:rFonts w:eastAsia="仿宋_GB2312"/>
          <w:sz w:val="32"/>
          <w:szCs w:val="32"/>
        </w:rPr>
        <w:br w:type="page"/>
      </w:r>
      <w:r>
        <w:rPr>
          <w:rFonts w:hint="eastAsia" w:ascii="黑体" w:eastAsia="黑体"/>
          <w:sz w:val="32"/>
          <w:szCs w:val="32"/>
        </w:rPr>
        <w:t>附件</w:t>
      </w:r>
      <w:r>
        <w:rPr>
          <w:rFonts w:ascii="黑体" w:eastAsia="黑体"/>
          <w:sz w:val="32"/>
          <w:szCs w:val="32"/>
        </w:rPr>
        <w:t>2</w:t>
      </w:r>
      <w:r>
        <w:rPr>
          <w:rFonts w:hint="eastAsia" w:ascii="黑体" w:eastAsia="黑体"/>
          <w:sz w:val="32"/>
          <w:szCs w:val="32"/>
        </w:rPr>
        <w:t>：</w:t>
      </w:r>
    </w:p>
    <w:p w14:paraId="125FDF38">
      <w:pPr>
        <w:adjustRightInd w:val="0"/>
        <w:snapToGrid w:val="0"/>
        <w:spacing w:line="594" w:lineRule="exact"/>
        <w:rPr>
          <w:rFonts w:ascii="黑体" w:eastAsia="黑体"/>
          <w:sz w:val="32"/>
          <w:szCs w:val="32"/>
        </w:rPr>
      </w:pPr>
    </w:p>
    <w:p w14:paraId="640E4FF3">
      <w:pPr>
        <w:adjustRightInd w:val="0"/>
        <w:snapToGrid w:val="0"/>
        <w:spacing w:line="570" w:lineRule="exact"/>
        <w:jc w:val="center"/>
        <w:rPr>
          <w:rFonts w:ascii="方正小标宋简体" w:eastAsia="方正小标宋简体"/>
          <w:sz w:val="44"/>
          <w:szCs w:val="44"/>
        </w:rPr>
      </w:pPr>
      <w:r>
        <w:rPr>
          <w:rFonts w:hint="eastAsia" w:ascii="方正小标宋简体" w:eastAsia="方正小标宋简体"/>
          <w:sz w:val="44"/>
          <w:szCs w:val="44"/>
        </w:rPr>
        <w:t>广东省火灾高危单位界定标准</w:t>
      </w:r>
    </w:p>
    <w:p w14:paraId="7B4C3B5F">
      <w:pPr>
        <w:adjustRightInd w:val="0"/>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（高危单位必须是重点单位）</w:t>
      </w:r>
    </w:p>
    <w:p w14:paraId="26A8B733">
      <w:pPr>
        <w:adjustRightInd w:val="0"/>
        <w:snapToGrid w:val="0"/>
        <w:spacing w:line="594" w:lineRule="exact"/>
        <w:ind w:firstLine="420" w:firstLineChars="200"/>
        <w:rPr>
          <w:rFonts w:ascii="黑体" w:eastAsia="黑体"/>
          <w:color w:val="000000"/>
        </w:rPr>
      </w:pPr>
    </w:p>
    <w:p w14:paraId="01610C1A">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第三条</w:t>
      </w:r>
      <w:r>
        <w:rPr>
          <w:rFonts w:ascii="仿宋_GB2312" w:eastAsia="仿宋_GB2312"/>
          <w:color w:val="000000"/>
          <w:sz w:val="32"/>
          <w:szCs w:val="32"/>
        </w:rPr>
        <w:t xml:space="preserve">  </w:t>
      </w:r>
      <w:r>
        <w:rPr>
          <w:rFonts w:hint="eastAsia" w:ascii="仿宋_GB2312" w:eastAsia="仿宋_GB2312"/>
          <w:color w:val="000000"/>
          <w:sz w:val="32"/>
          <w:szCs w:val="32"/>
        </w:rPr>
        <w:t>本规定所称火灾高危单位，是指消防安全重点单位中容易发生造成群死群伤、重大财产损失或重大社会影响的火灾的单位或场所。</w:t>
      </w:r>
    </w:p>
    <w:p w14:paraId="25DD39BC">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符合下列条件之一的消防安全重点单位应确定为火灾高危单位：</w:t>
      </w:r>
    </w:p>
    <w:p w14:paraId="130416E4">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（一）建筑面积超过</w:t>
      </w:r>
      <w:r>
        <w:rPr>
          <w:rFonts w:ascii="仿宋_GB2312" w:eastAsia="仿宋_GB2312"/>
          <w:color w:val="000000"/>
          <w:sz w:val="32"/>
          <w:szCs w:val="32"/>
        </w:rPr>
        <w:t>15000</w:t>
      </w:r>
      <w:r>
        <w:rPr>
          <w:rFonts w:hint="eastAsia" w:ascii="仿宋_GB2312" w:eastAsia="仿宋_GB2312"/>
          <w:color w:val="000000"/>
          <w:sz w:val="32"/>
          <w:szCs w:val="32"/>
        </w:rPr>
        <w:t>平方米的下列场所：</w:t>
      </w:r>
    </w:p>
    <w:p w14:paraId="4E173F9E">
      <w:pPr>
        <w:adjustRightInd w:val="0"/>
        <w:snapToGrid w:val="0"/>
        <w:spacing w:line="594"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商场、市场、会堂、展览馆；</w:t>
      </w:r>
    </w:p>
    <w:p w14:paraId="2D97A2ED">
      <w:pPr>
        <w:adjustRightInd w:val="0"/>
        <w:snapToGrid w:val="0"/>
        <w:spacing w:line="594" w:lineRule="exact"/>
        <w:ind w:firstLine="640" w:firstLineChars="200"/>
        <w:rPr>
          <w:rFonts w:ascii="仿宋_GB2312" w:eastAsia="仿宋_GB2312"/>
          <w:b/>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综合经营购物、餐饮、休闲、娱乐、会议、展览等</w:t>
      </w:r>
      <w:r>
        <w:rPr>
          <w:rFonts w:ascii="仿宋_GB2312" w:eastAsia="仿宋_GB2312"/>
          <w:color w:val="000000"/>
          <w:sz w:val="32"/>
          <w:szCs w:val="32"/>
        </w:rPr>
        <w:t>3</w:t>
      </w:r>
      <w:r>
        <w:rPr>
          <w:rFonts w:hint="eastAsia" w:ascii="仿宋_GB2312" w:eastAsia="仿宋_GB2312"/>
          <w:color w:val="000000"/>
          <w:sz w:val="32"/>
          <w:szCs w:val="32"/>
        </w:rPr>
        <w:t>个以上项目的公众聚集场所；</w:t>
      </w:r>
    </w:p>
    <w:p w14:paraId="31DF0EA5">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（二）看台座位数量超过</w:t>
      </w:r>
      <w:r>
        <w:rPr>
          <w:rFonts w:ascii="仿宋_GB2312" w:eastAsia="仿宋_GB2312"/>
          <w:color w:val="000000"/>
          <w:sz w:val="32"/>
          <w:szCs w:val="32"/>
        </w:rPr>
        <w:t>25000</w:t>
      </w:r>
      <w:r>
        <w:rPr>
          <w:rFonts w:hint="eastAsia" w:ascii="仿宋_GB2312" w:eastAsia="仿宋_GB2312"/>
          <w:color w:val="000000"/>
          <w:sz w:val="32"/>
          <w:szCs w:val="32"/>
        </w:rPr>
        <w:t>个的体育场，看台座位数量超过</w:t>
      </w:r>
      <w:r>
        <w:rPr>
          <w:rFonts w:ascii="仿宋_GB2312" w:eastAsia="仿宋_GB2312"/>
          <w:color w:val="000000"/>
          <w:sz w:val="32"/>
          <w:szCs w:val="32"/>
        </w:rPr>
        <w:t>8000</w:t>
      </w:r>
      <w:r>
        <w:rPr>
          <w:rFonts w:hint="eastAsia" w:ascii="仿宋_GB2312" w:eastAsia="仿宋_GB2312"/>
          <w:color w:val="000000"/>
          <w:sz w:val="32"/>
          <w:szCs w:val="32"/>
        </w:rPr>
        <w:t>个的体育馆；</w:t>
      </w:r>
    </w:p>
    <w:p w14:paraId="1E259A85">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（三）建筑面积超过</w:t>
      </w:r>
      <w:r>
        <w:rPr>
          <w:rFonts w:ascii="仿宋_GB2312" w:eastAsia="仿宋_GB2312"/>
          <w:color w:val="000000"/>
          <w:sz w:val="32"/>
          <w:szCs w:val="32"/>
        </w:rPr>
        <w:t>2000</w:t>
      </w:r>
      <w:r>
        <w:rPr>
          <w:rFonts w:hint="eastAsia" w:ascii="仿宋_GB2312" w:eastAsia="仿宋_GB2312"/>
          <w:color w:val="000000"/>
          <w:sz w:val="32"/>
          <w:szCs w:val="32"/>
        </w:rPr>
        <w:t>平方米的歌舞娱乐放映游艺场所；</w:t>
      </w:r>
    </w:p>
    <w:p w14:paraId="063223A9">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（四）床位数超过</w:t>
      </w:r>
      <w:r>
        <w:rPr>
          <w:rFonts w:ascii="仿宋_GB2312" w:eastAsia="仿宋_GB2312"/>
          <w:color w:val="000000"/>
          <w:sz w:val="32"/>
          <w:szCs w:val="32"/>
        </w:rPr>
        <w:t>500</w:t>
      </w:r>
      <w:r>
        <w:rPr>
          <w:rFonts w:hint="eastAsia" w:ascii="仿宋_GB2312" w:eastAsia="仿宋_GB2312"/>
          <w:color w:val="000000"/>
          <w:sz w:val="32"/>
          <w:szCs w:val="32"/>
        </w:rPr>
        <w:t>个的宾馆、饭店，床位数超过</w:t>
      </w:r>
      <w:r>
        <w:rPr>
          <w:rFonts w:ascii="仿宋_GB2312" w:eastAsia="仿宋_GB2312"/>
          <w:color w:val="000000"/>
          <w:sz w:val="32"/>
          <w:szCs w:val="32"/>
        </w:rPr>
        <w:t>500</w:t>
      </w:r>
      <w:r>
        <w:rPr>
          <w:rFonts w:hint="eastAsia" w:ascii="仿宋_GB2312" w:eastAsia="仿宋_GB2312"/>
          <w:color w:val="000000"/>
          <w:sz w:val="32"/>
          <w:szCs w:val="32"/>
        </w:rPr>
        <w:t>个的医院、养老院、福利院，床位数超过</w:t>
      </w:r>
      <w:r>
        <w:rPr>
          <w:rFonts w:ascii="仿宋_GB2312" w:eastAsia="仿宋_GB2312"/>
          <w:color w:val="000000"/>
          <w:sz w:val="32"/>
          <w:szCs w:val="32"/>
        </w:rPr>
        <w:t>10000</w:t>
      </w:r>
      <w:r>
        <w:rPr>
          <w:rFonts w:hint="eastAsia" w:ascii="仿宋_GB2312" w:eastAsia="仿宋_GB2312"/>
          <w:color w:val="000000"/>
          <w:sz w:val="32"/>
          <w:szCs w:val="32"/>
        </w:rPr>
        <w:t>个的寄宿制高等学校，床位数超过</w:t>
      </w:r>
      <w:r>
        <w:rPr>
          <w:rFonts w:ascii="仿宋_GB2312" w:eastAsia="仿宋_GB2312"/>
          <w:color w:val="000000"/>
          <w:sz w:val="32"/>
          <w:szCs w:val="32"/>
        </w:rPr>
        <w:t>1000</w:t>
      </w:r>
      <w:r>
        <w:rPr>
          <w:rFonts w:hint="eastAsia" w:ascii="仿宋_GB2312" w:eastAsia="仿宋_GB2312"/>
          <w:color w:val="000000"/>
          <w:sz w:val="32"/>
          <w:szCs w:val="32"/>
        </w:rPr>
        <w:t>个的寄宿制中、小学校，床位数超过</w:t>
      </w:r>
      <w:r>
        <w:rPr>
          <w:rFonts w:ascii="仿宋_GB2312" w:eastAsia="仿宋_GB2312"/>
          <w:color w:val="000000"/>
          <w:sz w:val="32"/>
          <w:szCs w:val="32"/>
        </w:rPr>
        <w:t>300</w:t>
      </w:r>
      <w:r>
        <w:rPr>
          <w:rFonts w:hint="eastAsia" w:ascii="仿宋_GB2312" w:eastAsia="仿宋_GB2312"/>
          <w:color w:val="000000"/>
          <w:sz w:val="32"/>
          <w:szCs w:val="32"/>
        </w:rPr>
        <w:t>个的寄宿制托儿所、幼儿园；</w:t>
      </w:r>
    </w:p>
    <w:p w14:paraId="66862AF2">
      <w:pPr>
        <w:adjustRightInd w:val="0"/>
        <w:snapToGrid w:val="0"/>
        <w:spacing w:line="594" w:lineRule="exact"/>
        <w:ind w:firstLine="645"/>
        <w:rPr>
          <w:rFonts w:ascii="仿宋_GB2312" w:hAnsi="??" w:eastAsia="仿宋_GB2312"/>
          <w:color w:val="000000"/>
          <w:kern w:val="0"/>
          <w:sz w:val="32"/>
          <w:szCs w:val="32"/>
        </w:rPr>
      </w:pPr>
      <w:r>
        <w:rPr>
          <w:rFonts w:hint="eastAsia" w:ascii="仿宋_GB2312" w:eastAsia="仿宋_GB2312"/>
          <w:color w:val="000000"/>
          <w:sz w:val="32"/>
          <w:szCs w:val="32"/>
        </w:rPr>
        <w:t>（五）单个生产车间建筑面积超过</w:t>
      </w:r>
      <w:r>
        <w:rPr>
          <w:rFonts w:ascii="仿宋_GB2312" w:eastAsia="仿宋_GB2312"/>
          <w:color w:val="000000"/>
          <w:sz w:val="32"/>
          <w:szCs w:val="32"/>
        </w:rPr>
        <w:t>20000</w:t>
      </w:r>
      <w:r>
        <w:rPr>
          <w:rFonts w:hint="eastAsia" w:ascii="仿宋_GB2312" w:eastAsia="仿宋_GB2312"/>
          <w:color w:val="000000"/>
          <w:sz w:val="32"/>
          <w:szCs w:val="32"/>
        </w:rPr>
        <w:t>平方米，且同一时间同一建筑物内从业人员数量超过</w:t>
      </w:r>
      <w:r>
        <w:rPr>
          <w:rFonts w:ascii="仿宋_GB2312" w:eastAsia="仿宋_GB2312"/>
          <w:color w:val="000000"/>
          <w:sz w:val="32"/>
          <w:szCs w:val="32"/>
        </w:rPr>
        <w:t>1000</w:t>
      </w:r>
      <w:r>
        <w:rPr>
          <w:rFonts w:hint="eastAsia" w:ascii="仿宋_GB2312" w:eastAsia="仿宋_GB2312"/>
          <w:color w:val="000000"/>
          <w:sz w:val="32"/>
          <w:szCs w:val="32"/>
        </w:rPr>
        <w:t>人的劳动密集型企业；</w:t>
      </w:r>
    </w:p>
    <w:p w14:paraId="17C7091A">
      <w:pPr>
        <w:adjustRightInd w:val="0"/>
        <w:snapToGrid w:val="0"/>
        <w:spacing w:line="594"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（六）采用木结构或者砖木结构的全国重点文物保护单位；</w:t>
      </w:r>
    </w:p>
    <w:p w14:paraId="4BAB3AFD">
      <w:pPr>
        <w:adjustRightInd w:val="0"/>
        <w:snapToGrid w:val="0"/>
        <w:spacing w:line="594"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（七）生产、储存甲、乙类液体总储量超过</w:t>
      </w:r>
      <w:r>
        <w:rPr>
          <w:rFonts w:ascii="仿宋_GB2312" w:eastAsia="仿宋_GB2312"/>
          <w:color w:val="000000"/>
          <w:sz w:val="32"/>
          <w:szCs w:val="32"/>
        </w:rPr>
        <w:t>30000</w:t>
      </w:r>
      <w:r>
        <w:rPr>
          <w:rFonts w:hint="eastAsia" w:ascii="仿宋_GB2312" w:eastAsia="仿宋_GB2312"/>
          <w:color w:val="000000"/>
          <w:sz w:val="32"/>
          <w:szCs w:val="32"/>
        </w:rPr>
        <w:t>立方米，生产、储存甲、乙类气体总储量超过</w:t>
      </w:r>
      <w:r>
        <w:rPr>
          <w:rFonts w:ascii="仿宋_GB2312" w:eastAsia="仿宋_GB2312"/>
          <w:color w:val="000000"/>
          <w:sz w:val="32"/>
          <w:szCs w:val="32"/>
        </w:rPr>
        <w:t>2500</w:t>
      </w:r>
      <w:r>
        <w:rPr>
          <w:rFonts w:hint="eastAsia" w:ascii="仿宋_GB2312" w:eastAsia="仿宋_GB2312"/>
          <w:color w:val="000000"/>
          <w:sz w:val="32"/>
          <w:szCs w:val="32"/>
        </w:rPr>
        <w:t>立方米，生产、储存甲、乙类固体、纤维总储量超过</w:t>
      </w:r>
      <w:r>
        <w:rPr>
          <w:rFonts w:ascii="仿宋_GB2312" w:eastAsia="仿宋_GB2312"/>
          <w:color w:val="000000"/>
          <w:sz w:val="32"/>
          <w:szCs w:val="32"/>
        </w:rPr>
        <w:t>5000</w:t>
      </w:r>
      <w:r>
        <w:rPr>
          <w:rFonts w:hint="eastAsia" w:ascii="仿宋_GB2312" w:eastAsia="仿宋_GB2312"/>
          <w:color w:val="000000"/>
          <w:sz w:val="32"/>
          <w:szCs w:val="32"/>
        </w:rPr>
        <w:t>吨的单位，或者占地面积超过</w:t>
      </w:r>
      <w:r>
        <w:rPr>
          <w:rFonts w:ascii="仿宋_GB2312" w:eastAsia="仿宋_GB2312"/>
          <w:color w:val="000000"/>
          <w:sz w:val="32"/>
          <w:szCs w:val="32"/>
        </w:rPr>
        <w:t>30000</w:t>
      </w:r>
      <w:r>
        <w:rPr>
          <w:rFonts w:hint="eastAsia" w:ascii="仿宋_GB2312" w:eastAsia="仿宋_GB2312"/>
          <w:color w:val="000000"/>
          <w:sz w:val="32"/>
          <w:szCs w:val="32"/>
        </w:rPr>
        <w:t>平方米的易燃易爆物品生产、储存单位，经营面积超过</w:t>
      </w:r>
      <w:r>
        <w:rPr>
          <w:rFonts w:ascii="仿宋_GB2312" w:eastAsia="仿宋_GB2312"/>
          <w:color w:val="000000"/>
          <w:sz w:val="32"/>
          <w:szCs w:val="32"/>
        </w:rPr>
        <w:t>1000</w:t>
      </w:r>
      <w:r>
        <w:rPr>
          <w:rFonts w:hint="eastAsia" w:ascii="仿宋_GB2312" w:eastAsia="仿宋_GB2312"/>
          <w:color w:val="000000"/>
          <w:sz w:val="32"/>
          <w:szCs w:val="32"/>
        </w:rPr>
        <w:t>平方米的易燃易爆物品经营单位；</w:t>
      </w:r>
    </w:p>
    <w:p w14:paraId="69D0A98B">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（八）民用机场，候车室建筑面积超过</w:t>
      </w:r>
      <w:r>
        <w:rPr>
          <w:rFonts w:ascii="仿宋_GB2312" w:eastAsia="仿宋_GB2312"/>
          <w:color w:val="000000"/>
          <w:sz w:val="32"/>
          <w:szCs w:val="32"/>
        </w:rPr>
        <w:t>10000</w:t>
      </w:r>
      <w:r>
        <w:rPr>
          <w:rFonts w:hint="eastAsia" w:ascii="仿宋_GB2312" w:eastAsia="仿宋_GB2312"/>
          <w:color w:val="000000"/>
          <w:sz w:val="32"/>
          <w:szCs w:val="32"/>
        </w:rPr>
        <w:t>平方米的火车站，候车（船）厅建筑面积超过</w:t>
      </w:r>
      <w:r>
        <w:rPr>
          <w:rFonts w:ascii="仿宋_GB2312" w:eastAsia="仿宋_GB2312"/>
          <w:color w:val="000000"/>
          <w:sz w:val="32"/>
          <w:szCs w:val="32"/>
        </w:rPr>
        <w:t>2000</w:t>
      </w:r>
      <w:r>
        <w:rPr>
          <w:rFonts w:hint="eastAsia" w:ascii="仿宋_GB2312" w:eastAsia="仿宋_GB2312"/>
          <w:color w:val="000000"/>
          <w:sz w:val="32"/>
          <w:szCs w:val="32"/>
        </w:rPr>
        <w:t>平方米的客运车站及客运码头；</w:t>
      </w:r>
    </w:p>
    <w:p w14:paraId="1CD489A1">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（九）其他容易发生造成群死群伤、重大财产损失或重大社会影响的火灾的单位或场所。</w:t>
      </w:r>
    </w:p>
    <w:p w14:paraId="7C3F2725">
      <w:pPr>
        <w:adjustRightInd w:val="0"/>
        <w:snapToGrid w:val="0"/>
        <w:spacing w:line="594" w:lineRule="exact"/>
        <w:ind w:firstLine="640" w:firstLineChars="200"/>
        <w:rPr>
          <w:rFonts w:ascii="仿宋_GB2312" w:eastAsia="仿宋_GB2312" w:cs="宋体"/>
          <w:bCs/>
          <w:sz w:val="32"/>
          <w:szCs w:val="32"/>
        </w:rPr>
      </w:pPr>
      <w:r>
        <w:rPr>
          <w:rFonts w:hint="eastAsia" w:ascii="仿宋_GB2312" w:eastAsia="仿宋_GB2312"/>
          <w:color w:val="000000"/>
          <w:sz w:val="32"/>
          <w:szCs w:val="32"/>
        </w:rPr>
        <w:t>建筑高度超过</w:t>
      </w:r>
      <w:r>
        <w:rPr>
          <w:rFonts w:ascii="仿宋_GB2312" w:eastAsia="仿宋_GB2312"/>
          <w:color w:val="000000"/>
          <w:sz w:val="32"/>
          <w:szCs w:val="32"/>
        </w:rPr>
        <w:t>100</w:t>
      </w:r>
      <w:r>
        <w:rPr>
          <w:rFonts w:hint="eastAsia" w:ascii="仿宋_GB2312" w:eastAsia="仿宋_GB2312"/>
          <w:color w:val="000000"/>
          <w:sz w:val="32"/>
          <w:szCs w:val="32"/>
        </w:rPr>
        <w:t>米的高层公共建筑、建筑面积超过</w:t>
      </w:r>
      <w:r>
        <w:rPr>
          <w:rFonts w:ascii="仿宋_GB2312" w:eastAsia="仿宋_GB2312"/>
          <w:color w:val="000000"/>
          <w:sz w:val="32"/>
          <w:szCs w:val="32"/>
        </w:rPr>
        <w:t>10000</w:t>
      </w:r>
      <w:r>
        <w:rPr>
          <w:rFonts w:hint="eastAsia" w:ascii="仿宋_GB2312" w:eastAsia="仿宋_GB2312"/>
          <w:color w:val="000000"/>
          <w:sz w:val="32"/>
          <w:szCs w:val="32"/>
        </w:rPr>
        <w:t>平方米的地下公共建筑、城市地下轨道交通工程，应按照本规定对火灾高危单位的要求，实行严格管理。</w:t>
      </w:r>
    </w:p>
    <w:p w14:paraId="73F3ACA8"/>
    <w:sectPr>
      <w:footerReference r:id="rId3" w:type="default"/>
      <w:pgSz w:w="11906" w:h="16838"/>
      <w:pgMar w:top="1440" w:right="1644" w:bottom="1869"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D1BB">
    <w:pPr>
      <w:pStyle w:val="5"/>
      <w:jc w:val="center"/>
    </w:pPr>
  </w:p>
  <w:p w14:paraId="3A5FCE70">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0461A82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A3974"/>
    <w:rsid w:val="5F8A3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napToGrid w:val="0"/>
      <w:spacing w:line="240" w:lineRule="atLeast"/>
      <w:ind w:left="0" w:leftChars="0"/>
    </w:pPr>
    <w:rPr>
      <w:rFonts w:ascii="仿宋_GB2312" w:hAnsi="仿宋_GB2312" w:eastAsia="仿宋_GB2312" w:cs="仿宋_GB2312"/>
      <w:sz w:val="24"/>
    </w:r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unhideWhenUsed/>
    <w:qFormat/>
    <w:uiPriority w:val="0"/>
    <w:pPr>
      <w:ind w:firstLine="420" w:firstLine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2025-12-08T02:31:00Z</dcterms:created>
  <dc:creator>冰是睡着的水</dc:creator>
  <cp:lastModifiedBy>冰是睡着的水</cp:lastModifiedBy>
  <dcterms:modified xsi:type="dcterms:W3CDTF">2025-12-08T02:32:42Z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E2A73A6CA5FF4E35AB3AD25FEB620AD7_11</vt:lpwstr>
  </property>
  <property fmtid="{D5CDD505-2E9C-101B-9397-08002B2CF9AE}" pid="4" name="KSOTemplateDocerSaveRecord">
    <vt:lpwstr>eyJoZGlkIjoiNGRjYzRhMmY2YjZiMzA5YjNmMWY3NWY3ZWZiN2Y3MTMiLCJ1c2VySWQiOiI4MDI1MTY2MjUifQ==</vt:lpwstr>
  </property>
</Properties>
</file>