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605" w:tblpY="3273"/>
        <w:tblOverlap w:val="never"/>
        <w:tblW w:w="9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9"/>
        <w:gridCol w:w="3480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资金支出项目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支出金额（单位：元）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信息化建设工程尾款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052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333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维修工程款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21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181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  <w:t>信息化建设项目监理费尾款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30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000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配电工程款项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123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359.68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土建工程项目咨询费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19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978.11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土建工程监理费尾款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12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678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土方回填及地面硬化工程预算造价咨询费用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2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000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配电工程造价咨询费、招标代理费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6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490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土方回填及地面硬化工程款项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53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031.58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勘探设计费尾款（20%）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31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600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社保服务中心结算编制费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10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786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项目土建工程款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226</w:t>
            </w: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,</w:t>
            </w:r>
            <w:r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562.63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4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总计</w:t>
            </w:r>
          </w:p>
        </w:tc>
        <w:tc>
          <w:tcPr>
            <w:tcW w:w="348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1,590,000.00</w:t>
            </w:r>
          </w:p>
        </w:tc>
        <w:tc>
          <w:tcPr>
            <w:tcW w:w="14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atLeast"/>
              <w:ind w:right="0"/>
              <w:jc w:val="center"/>
              <w:rPr>
                <w:rFonts w:hint="eastAsia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szCs w:val="40"/>
          <w:lang w:eastAsia="zh-CN"/>
        </w:rPr>
      </w:pPr>
      <w:r>
        <w:rPr>
          <w:rFonts w:hint="eastAsia"/>
          <w:b/>
          <w:bCs/>
          <w:sz w:val="44"/>
          <w:szCs w:val="40"/>
          <w:lang w:eastAsia="zh-CN"/>
        </w:rPr>
        <w:t>资金支出明细表</w:t>
      </w:r>
    </w:p>
    <w:p>
      <w:pPr>
        <w:jc w:val="center"/>
        <w:rPr>
          <w:rFonts w:hint="eastAsia"/>
          <w:b/>
          <w:bCs/>
          <w:sz w:val="32"/>
          <w:szCs w:val="28"/>
          <w:lang w:eastAsia="zh-CN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95FAB"/>
    <w:rsid w:val="654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2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2020-03-12T07:42:00Z</dcterms:created>
  <dc:creator>丢籽</dc:creator>
  <cp:lastModifiedBy>丢籽</cp:lastModifiedBy>
  <dcterms:modified xsi:type="dcterms:W3CDTF">2020-03-12T07:44:22Z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