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640" w:lineRule="exact"/>
        <w:jc w:val="both"/>
        <w:rPr>
          <w:rFonts w:hint="eastAsia" w:ascii="方正小标宋简体" w:eastAsia="方正小标宋简体"/>
          <w:sz w:val="44"/>
          <w:szCs w:val="44"/>
        </w:rPr>
      </w:pPr>
      <w:r>
        <w:rPr>
          <w:rFonts w:hint="eastAsia" w:ascii="方正小标宋简体" w:eastAsia="方正小标宋简体"/>
          <w:sz w:val="44"/>
          <w:szCs w:val="44"/>
        </w:rPr>
        <w:t>翁源县农业龙头企业申报认定与监测实施方案</w:t>
      </w:r>
    </w:p>
    <w:p>
      <w:pPr>
        <w:widowControl w:val="0"/>
        <w:snapToGrid w:val="0"/>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（征求意见稿）</w:t>
      </w:r>
    </w:p>
    <w:p>
      <w:pPr>
        <w:widowControl w:val="0"/>
        <w:snapToGrid w:val="0"/>
        <w:spacing w:line="360" w:lineRule="auto"/>
        <w:rPr>
          <w:rFonts w:eastAsia="仿宋_GB2312"/>
          <w:sz w:val="32"/>
          <w:szCs w:val="32"/>
        </w:rPr>
      </w:pPr>
    </w:p>
    <w:p>
      <w:pPr>
        <w:widowControl w:val="0"/>
        <w:snapToGrid w:val="0"/>
        <w:spacing w:line="360" w:lineRule="auto"/>
        <w:rPr>
          <w:rFonts w:eastAsia="仿宋_GB2312"/>
          <w:sz w:val="32"/>
          <w:szCs w:val="32"/>
        </w:rPr>
      </w:pPr>
      <w:r>
        <w:rPr>
          <w:rFonts w:eastAsia="仿宋_GB2312"/>
          <w:sz w:val="32"/>
          <w:szCs w:val="32"/>
        </w:rPr>
        <w:t>　　根据</w:t>
      </w:r>
      <w:r>
        <w:rPr>
          <w:rFonts w:hint="eastAsia" w:eastAsia="仿宋_GB2312"/>
          <w:sz w:val="32"/>
          <w:szCs w:val="32"/>
        </w:rPr>
        <w:t>韶关市人民政府</w:t>
      </w:r>
      <w:r>
        <w:rPr>
          <w:rFonts w:eastAsia="仿宋_GB2312"/>
          <w:sz w:val="32"/>
          <w:szCs w:val="32"/>
        </w:rPr>
        <w:t>《关于印发韶关市发展农业龙头企业实施方案的通知》（韶府〔2004〕126号）调整实施发展农业龙头企业方案精神，结合我县农业产业化经营情况的实际，为推进我县农业产业化经营发展，特制定本办法。</w:t>
      </w:r>
    </w:p>
    <w:p>
      <w:pPr>
        <w:widowControl w:val="0"/>
        <w:snapToGrid w:val="0"/>
        <w:spacing w:line="360" w:lineRule="auto"/>
        <w:rPr>
          <w:rFonts w:ascii="黑体" w:hAnsi="黑体" w:eastAsia="黑体"/>
          <w:sz w:val="32"/>
          <w:szCs w:val="32"/>
        </w:rPr>
      </w:pPr>
      <w:r>
        <w:rPr>
          <w:rFonts w:ascii="黑体" w:hAnsi="黑体" w:eastAsia="黑体"/>
          <w:sz w:val="32"/>
          <w:szCs w:val="32"/>
        </w:rPr>
        <w:t>　　一、指导思想和目标要求</w:t>
      </w:r>
    </w:p>
    <w:p>
      <w:pPr>
        <w:widowControl w:val="0"/>
        <w:snapToGrid w:val="0"/>
        <w:spacing w:line="360" w:lineRule="auto"/>
        <w:rPr>
          <w:rFonts w:eastAsia="仿宋_GB2312"/>
          <w:sz w:val="32"/>
          <w:szCs w:val="32"/>
        </w:rPr>
      </w:pPr>
      <w:r>
        <w:rPr>
          <w:rFonts w:eastAsia="仿宋_GB2312"/>
          <w:sz w:val="32"/>
          <w:szCs w:val="32"/>
        </w:rPr>
        <w:t>　　</w:t>
      </w:r>
      <w:r>
        <w:rPr>
          <w:rFonts w:eastAsia="仿宋_GB2312"/>
          <w:b w:val="0"/>
          <w:bCs/>
          <w:sz w:val="32"/>
          <w:szCs w:val="32"/>
        </w:rPr>
        <w:t>指导思想：</w:t>
      </w:r>
      <w:r>
        <w:rPr>
          <w:rFonts w:eastAsia="仿宋_GB2312"/>
          <w:sz w:val="32"/>
          <w:szCs w:val="32"/>
        </w:rPr>
        <w:t>围绕农业增效、农民增收和加快农业现代化进程，培育发展具有带动农民发展商品生产并为农民提供产前、产中、产后全程服务的大、中型农业龙头企业，带动我县农业产业结构实现战略性调整，进一步推进农业产业化经营。</w:t>
      </w:r>
    </w:p>
    <w:p>
      <w:pPr>
        <w:widowControl w:val="0"/>
        <w:snapToGrid w:val="0"/>
        <w:spacing w:line="360" w:lineRule="auto"/>
        <w:rPr>
          <w:rFonts w:eastAsia="仿宋_GB2312"/>
          <w:sz w:val="32"/>
          <w:szCs w:val="32"/>
        </w:rPr>
      </w:pPr>
      <w:r>
        <w:rPr>
          <w:rFonts w:eastAsia="仿宋_GB2312"/>
          <w:sz w:val="32"/>
          <w:szCs w:val="32"/>
        </w:rPr>
        <w:t>　　</w:t>
      </w:r>
      <w:r>
        <w:rPr>
          <w:rFonts w:eastAsia="仿宋_GB2312"/>
          <w:b w:val="0"/>
          <w:bCs/>
          <w:sz w:val="32"/>
          <w:szCs w:val="32"/>
        </w:rPr>
        <w:t>目标要求：</w:t>
      </w:r>
      <w:r>
        <w:rPr>
          <w:rFonts w:eastAsia="仿宋_GB2312"/>
          <w:sz w:val="32"/>
          <w:szCs w:val="32"/>
        </w:rPr>
        <w:t>通过对龙头企业的培育扶持，促进农业产业结构调整和专业化生产、集约化经营，使具有我县特色的农业主导产品和产业形成规模化生产，实现我县农业生产、农村经济、农民收入持续稳定增长目标。</w:t>
      </w:r>
    </w:p>
    <w:p>
      <w:pPr>
        <w:widowControl w:val="0"/>
        <w:snapToGrid w:val="0"/>
        <w:spacing w:line="360" w:lineRule="auto"/>
        <w:ind w:firstLine="510"/>
        <w:rPr>
          <w:rFonts w:ascii="黑体" w:hAnsi="黑体" w:eastAsia="黑体"/>
          <w:sz w:val="32"/>
          <w:szCs w:val="32"/>
        </w:rPr>
      </w:pPr>
      <w:r>
        <w:rPr>
          <w:rFonts w:ascii="黑体" w:hAnsi="黑体" w:eastAsia="黑体"/>
          <w:sz w:val="32"/>
          <w:szCs w:val="32"/>
        </w:rPr>
        <w:t>二、县农业龙头企业基本条件、考核计分办法</w:t>
      </w:r>
    </w:p>
    <w:p>
      <w:pPr>
        <w:widowControl w:val="0"/>
        <w:snapToGrid w:val="0"/>
        <w:spacing w:line="360" w:lineRule="auto"/>
        <w:rPr>
          <w:rFonts w:ascii="楷体_GB2312" w:eastAsia="楷体_GB2312"/>
          <w:b/>
          <w:color w:val="auto"/>
          <w:sz w:val="32"/>
          <w:szCs w:val="32"/>
        </w:rPr>
      </w:pPr>
      <w:r>
        <w:rPr>
          <w:rFonts w:eastAsia="仿宋_GB2312"/>
          <w:sz w:val="32"/>
          <w:szCs w:val="32"/>
        </w:rPr>
        <w:t>　　</w:t>
      </w:r>
      <w:r>
        <w:rPr>
          <w:rFonts w:hint="eastAsia" w:ascii="楷体_GB2312" w:eastAsia="楷体_GB2312"/>
          <w:b w:val="0"/>
          <w:bCs/>
          <w:sz w:val="32"/>
          <w:szCs w:val="32"/>
        </w:rPr>
        <w:t>（一）县农业龙头企业基本条件(</w:t>
      </w:r>
      <w:r>
        <w:rPr>
          <w:rFonts w:hint="eastAsia" w:ascii="楷体_GB2312" w:eastAsia="楷体_GB2312"/>
          <w:b w:val="0"/>
          <w:bCs/>
          <w:color w:val="auto"/>
          <w:sz w:val="32"/>
          <w:szCs w:val="32"/>
        </w:rPr>
        <w:t>销售年收入500万元，带动农户500户以上，户增1000元以上)。</w:t>
      </w:r>
    </w:p>
    <w:p>
      <w:pPr>
        <w:widowControl w:val="0"/>
        <w:snapToGrid w:val="0"/>
        <w:spacing w:line="360" w:lineRule="auto"/>
        <w:ind w:firstLine="570"/>
        <w:rPr>
          <w:rFonts w:eastAsia="仿宋_GB2312"/>
          <w:sz w:val="32"/>
          <w:szCs w:val="32"/>
        </w:rPr>
      </w:pPr>
      <w:r>
        <w:rPr>
          <w:rFonts w:eastAsia="仿宋_GB2312"/>
          <w:b w:val="0"/>
          <w:bCs/>
          <w:sz w:val="32"/>
          <w:szCs w:val="32"/>
        </w:rPr>
        <w:t>1.企业类型</w:t>
      </w:r>
      <w:r>
        <w:rPr>
          <w:rFonts w:hint="eastAsia" w:eastAsia="仿宋_GB2312"/>
          <w:b w:val="0"/>
          <w:bCs/>
          <w:sz w:val="32"/>
          <w:szCs w:val="32"/>
        </w:rPr>
        <w:t>。</w:t>
      </w:r>
      <w:r>
        <w:rPr>
          <w:rFonts w:eastAsia="仿宋_GB2312"/>
          <w:sz w:val="32"/>
          <w:szCs w:val="32"/>
        </w:rPr>
        <w:t>依法设立的具有独立法人资格的农产品生产、加工、流通或农业科技推广类企业，包括国有、集体、私营、中外合资、中外合作、外商独资企业和农民经济合作组织等。</w:t>
      </w:r>
    </w:p>
    <w:p>
      <w:pPr>
        <w:widowControl w:val="0"/>
        <w:snapToGrid w:val="0"/>
        <w:spacing w:line="360" w:lineRule="auto"/>
        <w:ind w:firstLine="570"/>
        <w:rPr>
          <w:rFonts w:eastAsia="仿宋_GB2312"/>
          <w:sz w:val="32"/>
          <w:szCs w:val="32"/>
        </w:rPr>
      </w:pPr>
      <w:r>
        <w:rPr>
          <w:rFonts w:eastAsia="仿宋_GB2312"/>
          <w:sz w:val="32"/>
          <w:szCs w:val="32"/>
        </w:rPr>
        <w:t>企业经营的产品中农产品经营额须占企业经营总额的90%以上。</w:t>
      </w:r>
    </w:p>
    <w:p>
      <w:pPr>
        <w:widowControl w:val="0"/>
        <w:snapToGrid w:val="0"/>
        <w:spacing w:line="360" w:lineRule="auto"/>
        <w:ind w:firstLine="570"/>
        <w:rPr>
          <w:rFonts w:eastAsia="仿宋_GB2312"/>
          <w:sz w:val="32"/>
          <w:szCs w:val="32"/>
        </w:rPr>
      </w:pPr>
      <w:r>
        <w:rPr>
          <w:rFonts w:eastAsia="仿宋_GB2312"/>
          <w:b w:val="0"/>
          <w:bCs/>
          <w:sz w:val="32"/>
          <w:szCs w:val="32"/>
        </w:rPr>
        <w:t>2.企业规模</w:t>
      </w:r>
      <w:r>
        <w:rPr>
          <w:rFonts w:hint="eastAsia" w:eastAsia="仿宋_GB2312"/>
          <w:b w:val="0"/>
          <w:bCs/>
          <w:sz w:val="32"/>
          <w:szCs w:val="32"/>
        </w:rPr>
        <w:t>。</w:t>
      </w:r>
      <w:r>
        <w:rPr>
          <w:rFonts w:eastAsia="仿宋_GB2312"/>
          <w:sz w:val="32"/>
          <w:szCs w:val="32"/>
        </w:rPr>
        <w:t>分别按农产品生产型龙头企业，农产品加工、流通型龙头企业，农产品市场带动型龙头企业以及农业科技推广类企业等</w:t>
      </w:r>
      <w:r>
        <w:rPr>
          <w:rFonts w:hint="eastAsia" w:eastAsia="仿宋_GB2312"/>
          <w:sz w:val="32"/>
          <w:szCs w:val="32"/>
          <w:lang w:eastAsia="zh-CN"/>
        </w:rPr>
        <w:t>五</w:t>
      </w:r>
      <w:r>
        <w:rPr>
          <w:rFonts w:eastAsia="仿宋_GB2312"/>
          <w:sz w:val="32"/>
          <w:szCs w:val="32"/>
        </w:rPr>
        <w:t>种类型企业，根据注册资本、资产总值、固定资产、年销售收入等四项指标进行考核。</w:t>
      </w:r>
    </w:p>
    <w:p>
      <w:pPr>
        <w:widowControl w:val="0"/>
        <w:snapToGrid w:val="0"/>
        <w:spacing w:line="360" w:lineRule="auto"/>
        <w:ind w:firstLine="570"/>
        <w:rPr>
          <w:rFonts w:eastAsia="仿宋_GB2312"/>
          <w:sz w:val="32"/>
          <w:szCs w:val="32"/>
        </w:rPr>
      </w:pPr>
      <w:r>
        <w:rPr>
          <w:rFonts w:eastAsia="仿宋_GB2312"/>
          <w:sz w:val="32"/>
          <w:szCs w:val="32"/>
        </w:rPr>
        <w:t>企业年农产品及其加工品的销售收入500万元以上，贮运、流通型企业年经营农产品销售收入2000万元以上，农产品专业批发市场交易额达3000万元以上。</w:t>
      </w:r>
    </w:p>
    <w:p>
      <w:pPr>
        <w:widowControl w:val="0"/>
        <w:snapToGrid w:val="0"/>
        <w:spacing w:line="360" w:lineRule="auto"/>
        <w:rPr>
          <w:rFonts w:eastAsia="仿宋_GB2312"/>
          <w:sz w:val="32"/>
          <w:szCs w:val="32"/>
        </w:rPr>
      </w:pPr>
      <w:r>
        <w:rPr>
          <w:rFonts w:eastAsia="仿宋_GB2312"/>
          <w:sz w:val="32"/>
          <w:szCs w:val="32"/>
        </w:rPr>
        <w:t>　　</w:t>
      </w:r>
      <w:r>
        <w:rPr>
          <w:rFonts w:eastAsia="仿宋_GB2312"/>
          <w:b w:val="0"/>
          <w:bCs/>
          <w:sz w:val="32"/>
          <w:szCs w:val="32"/>
        </w:rPr>
        <w:t>3.企业效益</w:t>
      </w:r>
      <w:r>
        <w:rPr>
          <w:rFonts w:hint="eastAsia" w:eastAsia="仿宋_GB2312"/>
          <w:b w:val="0"/>
          <w:bCs/>
          <w:sz w:val="32"/>
          <w:szCs w:val="32"/>
        </w:rPr>
        <w:t>。</w:t>
      </w:r>
      <w:r>
        <w:rPr>
          <w:rFonts w:eastAsia="仿宋_GB2312"/>
          <w:sz w:val="32"/>
          <w:szCs w:val="32"/>
        </w:rPr>
        <w:t>主营产品产销率95%以上，净资产收益率6%以上。资产负债率小于65%，不欠税、不欠工资、不欠社保金、不亏损。</w:t>
      </w:r>
    </w:p>
    <w:p>
      <w:pPr>
        <w:widowControl w:val="0"/>
        <w:snapToGrid w:val="0"/>
        <w:spacing w:line="360" w:lineRule="auto"/>
        <w:rPr>
          <w:rFonts w:eastAsia="仿宋_GB2312"/>
          <w:sz w:val="32"/>
          <w:szCs w:val="32"/>
        </w:rPr>
      </w:pPr>
      <w:r>
        <w:rPr>
          <w:rFonts w:eastAsia="仿宋_GB2312"/>
          <w:sz w:val="32"/>
          <w:szCs w:val="32"/>
        </w:rPr>
        <w:t>　</w:t>
      </w:r>
      <w:r>
        <w:rPr>
          <w:rFonts w:eastAsia="仿宋_GB2312"/>
          <w:b/>
          <w:sz w:val="32"/>
          <w:szCs w:val="32"/>
        </w:rPr>
        <w:t>　</w:t>
      </w:r>
      <w:r>
        <w:rPr>
          <w:rFonts w:eastAsia="仿宋_GB2312"/>
          <w:b w:val="0"/>
          <w:bCs/>
          <w:sz w:val="32"/>
          <w:szCs w:val="32"/>
        </w:rPr>
        <w:t>4.企业带动农民能力</w:t>
      </w:r>
      <w:r>
        <w:rPr>
          <w:rFonts w:hint="eastAsia" w:eastAsia="仿宋_GB2312"/>
          <w:b w:val="0"/>
          <w:bCs/>
          <w:sz w:val="32"/>
          <w:szCs w:val="32"/>
        </w:rPr>
        <w:t>。</w:t>
      </w:r>
      <w:r>
        <w:rPr>
          <w:rFonts w:eastAsia="仿宋_GB2312"/>
          <w:sz w:val="32"/>
          <w:szCs w:val="32"/>
        </w:rPr>
        <w:t>企业以资本、技术、市场为纽带，在互惠互利的基础上，通过契约等形式与农户形成利益联结机制，为农户提供产前、产中、产后的系列化服务中有效发展生产和增加农户收入，企业带动农户500户以上，户均增收1000元以上。</w:t>
      </w:r>
    </w:p>
    <w:p>
      <w:pPr>
        <w:widowControl w:val="0"/>
        <w:snapToGrid w:val="0"/>
        <w:spacing w:line="360" w:lineRule="auto"/>
        <w:rPr>
          <w:rFonts w:eastAsia="仿宋_GB2312"/>
          <w:sz w:val="32"/>
          <w:szCs w:val="32"/>
        </w:rPr>
      </w:pPr>
      <w:r>
        <w:rPr>
          <w:rFonts w:eastAsia="仿宋_GB2312"/>
          <w:sz w:val="32"/>
          <w:szCs w:val="32"/>
        </w:rPr>
        <w:t>　　</w:t>
      </w:r>
      <w:r>
        <w:rPr>
          <w:rFonts w:eastAsia="仿宋_GB2312"/>
          <w:b w:val="0"/>
          <w:bCs/>
          <w:sz w:val="32"/>
          <w:szCs w:val="32"/>
        </w:rPr>
        <w:t>5.企业管理工作</w:t>
      </w:r>
      <w:r>
        <w:rPr>
          <w:rFonts w:hint="eastAsia" w:eastAsia="仿宋_GB2312"/>
          <w:b w:val="0"/>
          <w:bCs/>
          <w:sz w:val="32"/>
          <w:szCs w:val="32"/>
        </w:rPr>
        <w:t>。</w:t>
      </w:r>
      <w:r>
        <w:rPr>
          <w:rFonts w:eastAsia="仿宋_GB2312"/>
          <w:sz w:val="32"/>
          <w:szCs w:val="32"/>
        </w:rPr>
        <w:t>企业应建立健全法人治理结构和组织结构，依法经营，照章纳税，公平竞争，信用良好。</w:t>
      </w:r>
    </w:p>
    <w:p>
      <w:pPr>
        <w:widowControl w:val="0"/>
        <w:snapToGrid w:val="0"/>
        <w:spacing w:line="360" w:lineRule="auto"/>
        <w:rPr>
          <w:rFonts w:ascii="楷体_GB2312" w:eastAsia="楷体_GB2312"/>
          <w:b w:val="0"/>
          <w:bCs/>
          <w:sz w:val="32"/>
          <w:szCs w:val="32"/>
        </w:rPr>
      </w:pPr>
      <w:r>
        <w:rPr>
          <w:rFonts w:hint="eastAsia" w:ascii="楷体_GB2312" w:eastAsia="楷体_GB2312"/>
          <w:b/>
          <w:sz w:val="32"/>
          <w:szCs w:val="32"/>
        </w:rPr>
        <w:t>　　</w:t>
      </w:r>
      <w:r>
        <w:rPr>
          <w:rFonts w:hint="eastAsia" w:ascii="楷体_GB2312" w:eastAsia="楷体_GB2312"/>
          <w:b w:val="0"/>
          <w:bCs/>
          <w:sz w:val="32"/>
          <w:szCs w:val="32"/>
        </w:rPr>
        <w:t>（二）县农业龙头企业考核计分办法。</w:t>
      </w:r>
    </w:p>
    <w:p>
      <w:pPr>
        <w:widowControl w:val="0"/>
        <w:snapToGrid w:val="0"/>
        <w:spacing w:line="360" w:lineRule="auto"/>
        <w:rPr>
          <w:rFonts w:eastAsia="仿宋_GB2312"/>
          <w:sz w:val="32"/>
          <w:szCs w:val="32"/>
        </w:rPr>
      </w:pPr>
      <w:r>
        <w:rPr>
          <w:rFonts w:eastAsia="仿宋_GB2312"/>
          <w:sz w:val="32"/>
          <w:szCs w:val="32"/>
        </w:rPr>
        <w:t>　　考核以百分制计分，具体考核计分办法是：</w:t>
      </w:r>
    </w:p>
    <w:p>
      <w:pPr>
        <w:widowControl w:val="0"/>
        <w:snapToGrid w:val="0"/>
        <w:spacing w:line="360" w:lineRule="auto"/>
        <w:rPr>
          <w:rFonts w:eastAsia="仿宋_GB2312"/>
          <w:sz w:val="32"/>
          <w:szCs w:val="32"/>
        </w:rPr>
      </w:pPr>
      <w:r>
        <w:rPr>
          <w:rFonts w:eastAsia="仿宋_GB2312"/>
          <w:sz w:val="32"/>
          <w:szCs w:val="32"/>
        </w:rPr>
        <w:t>　　1.企业当年主营产品销售收入（农产品及其加工品的销售收入）500万元以上计10分，每增加50万元，增计1分，最高20分。</w:t>
      </w:r>
    </w:p>
    <w:p>
      <w:pPr>
        <w:widowControl w:val="0"/>
        <w:snapToGrid w:val="0"/>
        <w:spacing w:line="360" w:lineRule="auto"/>
        <w:rPr>
          <w:rFonts w:eastAsia="仿宋_GB2312"/>
          <w:sz w:val="32"/>
          <w:szCs w:val="32"/>
        </w:rPr>
      </w:pPr>
      <w:r>
        <w:rPr>
          <w:rFonts w:eastAsia="仿宋_GB2312"/>
          <w:sz w:val="32"/>
          <w:szCs w:val="32"/>
        </w:rPr>
        <w:t>　　流通型企业年经营农产品销售收入2000万元以上计10分，每增加100万元，增计1分，最高20分。</w:t>
      </w:r>
    </w:p>
    <w:p>
      <w:pPr>
        <w:widowControl w:val="0"/>
        <w:snapToGrid w:val="0"/>
        <w:spacing w:line="360" w:lineRule="auto"/>
        <w:rPr>
          <w:rFonts w:eastAsia="仿宋_GB2312"/>
          <w:sz w:val="32"/>
          <w:szCs w:val="32"/>
        </w:rPr>
      </w:pPr>
      <w:r>
        <w:rPr>
          <w:rFonts w:eastAsia="仿宋_GB2312"/>
          <w:sz w:val="32"/>
          <w:szCs w:val="32"/>
        </w:rPr>
        <w:t>　　农产品专业批发市场年交易额3000万元以上计10分，每增加100万元，增计1分，最高20分。</w:t>
      </w:r>
    </w:p>
    <w:p>
      <w:pPr>
        <w:widowControl w:val="0"/>
        <w:snapToGrid w:val="0"/>
        <w:spacing w:line="360" w:lineRule="auto"/>
        <w:rPr>
          <w:rFonts w:eastAsia="仿宋_GB2312"/>
          <w:sz w:val="32"/>
          <w:szCs w:val="32"/>
        </w:rPr>
      </w:pPr>
      <w:r>
        <w:rPr>
          <w:rFonts w:eastAsia="仿宋_GB2312"/>
          <w:sz w:val="32"/>
          <w:szCs w:val="32"/>
        </w:rPr>
        <w:t>　　2.企业主营产品销售率在95%以上计5分，低于95%的计0分。</w:t>
      </w:r>
    </w:p>
    <w:p>
      <w:pPr>
        <w:widowControl w:val="0"/>
        <w:snapToGrid w:val="0"/>
        <w:spacing w:line="360" w:lineRule="auto"/>
        <w:rPr>
          <w:rFonts w:eastAsia="仿宋_GB2312"/>
          <w:sz w:val="32"/>
          <w:szCs w:val="32"/>
        </w:rPr>
      </w:pPr>
      <w:r>
        <w:rPr>
          <w:rFonts w:eastAsia="仿宋_GB2312"/>
          <w:sz w:val="32"/>
          <w:szCs w:val="32"/>
        </w:rPr>
        <w:t>　　3.企业年净资产收益率6%以上计5分，低于6%的计0分。</w:t>
      </w:r>
    </w:p>
    <w:p>
      <w:pPr>
        <w:widowControl w:val="0"/>
        <w:snapToGrid w:val="0"/>
        <w:spacing w:line="360" w:lineRule="auto"/>
        <w:rPr>
          <w:rFonts w:eastAsia="仿宋_GB2312"/>
          <w:sz w:val="32"/>
          <w:szCs w:val="32"/>
        </w:rPr>
      </w:pPr>
      <w:r>
        <w:rPr>
          <w:rFonts w:eastAsia="仿宋_GB2312"/>
          <w:sz w:val="32"/>
          <w:szCs w:val="32"/>
        </w:rPr>
        <w:t>　　4.企业资产负债率低于65%计5分，高于65%计0分。</w:t>
      </w:r>
    </w:p>
    <w:p>
      <w:pPr>
        <w:widowControl w:val="0"/>
        <w:snapToGrid w:val="0"/>
        <w:spacing w:line="360" w:lineRule="auto"/>
        <w:rPr>
          <w:rFonts w:eastAsia="仿宋_GB2312"/>
          <w:sz w:val="32"/>
          <w:szCs w:val="32"/>
        </w:rPr>
      </w:pPr>
      <w:r>
        <w:rPr>
          <w:rFonts w:eastAsia="仿宋_GB2312"/>
          <w:sz w:val="32"/>
          <w:szCs w:val="32"/>
        </w:rPr>
        <w:t>　　5.企业不欠税、不欠工资、不欠社保金、不亏损计10分。</w:t>
      </w:r>
    </w:p>
    <w:p>
      <w:pPr>
        <w:widowControl w:val="0"/>
        <w:snapToGrid w:val="0"/>
        <w:spacing w:line="360" w:lineRule="auto"/>
        <w:rPr>
          <w:rFonts w:eastAsia="仿宋_GB2312"/>
          <w:sz w:val="32"/>
          <w:szCs w:val="32"/>
        </w:rPr>
      </w:pPr>
      <w:r>
        <w:rPr>
          <w:rFonts w:eastAsia="仿宋_GB2312"/>
          <w:sz w:val="32"/>
          <w:szCs w:val="32"/>
        </w:rPr>
        <w:t>　　6.企业带动农户（以有合同或“订单农业“方式为准）500户以上计10分，每增加50户，增计1分，最高25分。</w:t>
      </w:r>
    </w:p>
    <w:p>
      <w:pPr>
        <w:widowControl w:val="0"/>
        <w:snapToGrid w:val="0"/>
        <w:spacing w:line="360" w:lineRule="auto"/>
        <w:rPr>
          <w:rFonts w:eastAsia="仿宋_GB2312"/>
          <w:sz w:val="32"/>
          <w:szCs w:val="32"/>
        </w:rPr>
      </w:pPr>
      <w:r>
        <w:rPr>
          <w:rFonts w:eastAsia="仿宋_GB2312"/>
          <w:sz w:val="32"/>
          <w:szCs w:val="32"/>
        </w:rPr>
        <w:t>　　7.企业带动农户户均年收入增加1000元以上计10分，每增100元，增计1分，最高20分。</w:t>
      </w:r>
    </w:p>
    <w:p>
      <w:pPr>
        <w:widowControl w:val="0"/>
        <w:snapToGrid w:val="0"/>
        <w:spacing w:line="360" w:lineRule="auto"/>
        <w:rPr>
          <w:rFonts w:eastAsia="仿宋_GB2312"/>
          <w:sz w:val="32"/>
          <w:szCs w:val="32"/>
        </w:rPr>
      </w:pPr>
      <w:r>
        <w:rPr>
          <w:rFonts w:eastAsia="仿宋_GB2312"/>
          <w:sz w:val="32"/>
          <w:szCs w:val="32"/>
        </w:rPr>
        <w:t>　　8.企业管理规范、制度健全、信用良好计10分。</w:t>
      </w:r>
    </w:p>
    <w:p>
      <w:pPr>
        <w:widowControl w:val="0"/>
        <w:snapToGrid w:val="0"/>
        <w:spacing w:line="360" w:lineRule="auto"/>
        <w:rPr>
          <w:rFonts w:ascii="黑体" w:hAnsi="黑体" w:eastAsia="黑体"/>
          <w:sz w:val="32"/>
          <w:szCs w:val="32"/>
        </w:rPr>
      </w:pPr>
      <w:r>
        <w:rPr>
          <w:rFonts w:ascii="黑体" w:hAnsi="黑体" w:eastAsia="黑体"/>
          <w:sz w:val="32"/>
          <w:szCs w:val="32"/>
        </w:rPr>
        <w:t>　　三、县农业龙头企业申报、认定、管理</w:t>
      </w:r>
    </w:p>
    <w:p>
      <w:pPr>
        <w:widowControl w:val="0"/>
        <w:snapToGrid w:val="0"/>
        <w:spacing w:line="360" w:lineRule="auto"/>
        <w:rPr>
          <w:rFonts w:eastAsia="仿宋_GB2312"/>
          <w:sz w:val="32"/>
          <w:szCs w:val="32"/>
        </w:rPr>
      </w:pPr>
      <w:r>
        <w:rPr>
          <w:rFonts w:eastAsia="仿宋_GB2312"/>
          <w:sz w:val="32"/>
          <w:szCs w:val="32"/>
        </w:rPr>
        <w:t>　　</w:t>
      </w:r>
      <w:r>
        <w:rPr>
          <w:rFonts w:hint="eastAsia" w:ascii="楷体_GB2312" w:eastAsia="楷体_GB2312"/>
          <w:b w:val="0"/>
          <w:bCs/>
          <w:sz w:val="32"/>
          <w:szCs w:val="32"/>
        </w:rPr>
        <w:t>（一）申报。</w:t>
      </w:r>
      <w:r>
        <w:rPr>
          <w:rFonts w:eastAsia="仿宋_GB2312"/>
          <w:sz w:val="32"/>
          <w:szCs w:val="32"/>
        </w:rPr>
        <w:t>申报工作每年进行一次，由各镇（场）于每年4月底前，把所申报企业上一年的经营总结、会计年报表和翁源县农业龙头企业申报表，</w:t>
      </w:r>
      <w:r>
        <w:rPr>
          <w:rFonts w:hint="eastAsia" w:eastAsia="仿宋_GB2312"/>
          <w:sz w:val="32"/>
          <w:szCs w:val="32"/>
        </w:rPr>
        <w:t>及</w:t>
      </w:r>
      <w:r>
        <w:rPr>
          <w:rFonts w:eastAsia="仿宋_GB2312"/>
          <w:sz w:val="32"/>
          <w:szCs w:val="32"/>
        </w:rPr>
        <w:t>农经审计部门的审计意见，企业工商营业执照复印件等材料一式两份，经当地政府确认后统一报县农业农村局。县直属企业可按要求直接向县农业农村局申报。</w:t>
      </w:r>
    </w:p>
    <w:p>
      <w:pPr>
        <w:widowControl w:val="0"/>
        <w:snapToGrid w:val="0"/>
        <w:spacing w:line="360" w:lineRule="auto"/>
        <w:rPr>
          <w:rFonts w:eastAsia="仿宋_GB2312"/>
          <w:sz w:val="32"/>
          <w:szCs w:val="32"/>
        </w:rPr>
      </w:pPr>
      <w:r>
        <w:rPr>
          <w:rFonts w:eastAsia="仿宋_GB2312"/>
          <w:sz w:val="32"/>
          <w:szCs w:val="32"/>
        </w:rPr>
        <w:t>　　</w:t>
      </w:r>
      <w:r>
        <w:rPr>
          <w:rFonts w:hint="eastAsia" w:ascii="楷体_GB2312" w:eastAsia="楷体_GB2312"/>
          <w:b w:val="0"/>
          <w:bCs/>
          <w:sz w:val="32"/>
          <w:szCs w:val="32"/>
        </w:rPr>
        <w:t>（二）对企业所报材料真实性审核。</w:t>
      </w:r>
      <w:r>
        <w:rPr>
          <w:rFonts w:eastAsia="仿宋_GB2312"/>
          <w:sz w:val="32"/>
          <w:szCs w:val="32"/>
        </w:rPr>
        <w:t>农经审计部门应对企业的主营销售收入、产品销售率、资产负债率、净资产收益率和工资发放、纳税、社保金缴付、企业盈亏等情况出具意见，农业农村局应对企业带动农民以及农户户均增收情况的真实性进行审核并出具意见。</w:t>
      </w:r>
    </w:p>
    <w:p>
      <w:pPr>
        <w:widowControl w:val="0"/>
        <w:snapToGrid w:val="0"/>
        <w:spacing w:line="360" w:lineRule="auto"/>
        <w:rPr>
          <w:rFonts w:eastAsia="仿宋_GB2312"/>
          <w:sz w:val="32"/>
          <w:szCs w:val="32"/>
        </w:rPr>
      </w:pPr>
      <w:r>
        <w:rPr>
          <w:rFonts w:eastAsia="仿宋_GB2312"/>
          <w:sz w:val="32"/>
          <w:szCs w:val="32"/>
        </w:rPr>
        <w:t>　　</w:t>
      </w:r>
      <w:r>
        <w:rPr>
          <w:rFonts w:hint="eastAsia" w:ascii="楷体_GB2312" w:eastAsia="楷体_GB2312"/>
          <w:b w:val="0"/>
          <w:bCs/>
          <w:sz w:val="32"/>
          <w:szCs w:val="32"/>
        </w:rPr>
        <w:t>（三）认定。</w:t>
      </w:r>
      <w:r>
        <w:rPr>
          <w:rFonts w:eastAsia="仿宋_GB2312"/>
          <w:sz w:val="32"/>
          <w:szCs w:val="32"/>
        </w:rPr>
        <w:t>县级农业龙头企业的认定，必须符合基本条件的要求和综合考核达80分以上，经县农业农村局协同有关部门考核后，报县政府批准，确认授予“翁源县农业龙头企业”称号。考核达70分以上80分以下的企业，列为县级农业龙头企业培育对象。</w:t>
      </w:r>
    </w:p>
    <w:p>
      <w:pPr>
        <w:widowControl w:val="0"/>
        <w:snapToGrid w:val="0"/>
        <w:spacing w:line="360" w:lineRule="auto"/>
        <w:rPr>
          <w:rFonts w:eastAsia="仿宋_GB2312"/>
          <w:sz w:val="32"/>
          <w:szCs w:val="32"/>
        </w:rPr>
      </w:pPr>
      <w:r>
        <w:rPr>
          <w:rFonts w:eastAsia="仿宋_GB2312"/>
          <w:sz w:val="32"/>
          <w:szCs w:val="32"/>
        </w:rPr>
        <w:t>　　</w:t>
      </w:r>
      <w:r>
        <w:rPr>
          <w:rFonts w:hint="eastAsia" w:ascii="楷体_GB2312" w:eastAsia="楷体_GB2312"/>
          <w:b w:val="0"/>
          <w:bCs/>
          <w:sz w:val="32"/>
          <w:szCs w:val="32"/>
        </w:rPr>
        <w:t>（四）管理。</w:t>
      </w:r>
      <w:r>
        <w:rPr>
          <w:rFonts w:eastAsia="仿宋_GB2312"/>
          <w:sz w:val="32"/>
          <w:szCs w:val="32"/>
        </w:rPr>
        <w:t>对已确认的县级农业龙头企业，采取每年考核一次的办法，进行动态管理。连续两年考核总分80分以下的，或者违反国家有关规定及违法经营的，取消其“翁源县农业龙头企业”称号，列入农业龙头企业培育对象的，考核总分在70分以下的，取消其资格。</w:t>
      </w:r>
    </w:p>
    <w:p>
      <w:pPr>
        <w:widowControl w:val="0"/>
        <w:snapToGrid w:val="0"/>
        <w:spacing w:line="360" w:lineRule="auto"/>
        <w:rPr>
          <w:rFonts w:eastAsia="仿宋_GB2312"/>
          <w:sz w:val="32"/>
          <w:szCs w:val="32"/>
        </w:rPr>
      </w:pPr>
      <w:r>
        <w:rPr>
          <w:rFonts w:eastAsia="仿宋_GB2312"/>
          <w:sz w:val="32"/>
          <w:szCs w:val="32"/>
        </w:rPr>
        <w:t>　　（五）对县级农业龙头企业的年度考核工作由县农业农村局组织实施。</w:t>
      </w:r>
    </w:p>
    <w:p>
      <w:pPr>
        <w:widowControl w:val="0"/>
        <w:snapToGrid w:val="0"/>
        <w:spacing w:line="360" w:lineRule="auto"/>
        <w:rPr>
          <w:rFonts w:eastAsia="仿宋_GB2312"/>
          <w:sz w:val="32"/>
          <w:szCs w:val="32"/>
        </w:rPr>
      </w:pPr>
      <w:r>
        <w:rPr>
          <w:rFonts w:eastAsia="仿宋_GB2312"/>
          <w:sz w:val="32"/>
          <w:szCs w:val="32"/>
        </w:rPr>
        <w:t>　　（六）县设立农业龙头企业奖励基金，奖励经县政府确认的县农业龙头企业，设一、二</w:t>
      </w:r>
      <w:r>
        <w:rPr>
          <w:rFonts w:hint="eastAsia" w:eastAsia="仿宋_GB2312"/>
          <w:sz w:val="32"/>
          <w:szCs w:val="32"/>
        </w:rPr>
        <w:t>、</w:t>
      </w:r>
      <w:r>
        <w:rPr>
          <w:rFonts w:eastAsia="仿宋_GB2312"/>
          <w:sz w:val="32"/>
          <w:szCs w:val="32"/>
        </w:rPr>
        <w:t>三等三个奖项，奖金由企业自主分配使用。具体奖励办法由县农业农村局会同县财政局制定，报县政府批准后实施。</w:t>
      </w:r>
    </w:p>
    <w:p>
      <w:pPr>
        <w:widowControl w:val="0"/>
        <w:snapToGrid w:val="0"/>
        <w:spacing w:line="360" w:lineRule="auto"/>
        <w:rPr>
          <w:rFonts w:ascii="黑体" w:hAnsi="黑体" w:eastAsia="黑体"/>
          <w:sz w:val="32"/>
          <w:szCs w:val="32"/>
        </w:rPr>
      </w:pPr>
      <w:r>
        <w:rPr>
          <w:rFonts w:ascii="黑体" w:hAnsi="黑体" w:eastAsia="黑体"/>
          <w:sz w:val="32"/>
          <w:szCs w:val="32"/>
        </w:rPr>
        <w:t>　　四、附则</w:t>
      </w:r>
    </w:p>
    <w:p>
      <w:pPr>
        <w:widowControl w:val="0"/>
        <w:snapToGrid w:val="0"/>
        <w:spacing w:line="360" w:lineRule="auto"/>
        <w:rPr>
          <w:rFonts w:eastAsia="仿宋_GB2312"/>
          <w:sz w:val="32"/>
          <w:szCs w:val="32"/>
        </w:rPr>
      </w:pPr>
      <w:r>
        <w:rPr>
          <w:rFonts w:eastAsia="仿宋_GB2312"/>
          <w:sz w:val="32"/>
          <w:szCs w:val="32"/>
        </w:rPr>
        <w:t>　　（一）本方案自颁布之日起实施</w:t>
      </w:r>
      <w:r>
        <w:rPr>
          <w:rFonts w:hint="eastAsia" w:eastAsia="仿宋_GB2312"/>
          <w:sz w:val="32"/>
          <w:szCs w:val="32"/>
        </w:rPr>
        <w:t>。</w:t>
      </w:r>
    </w:p>
    <w:p>
      <w:pPr>
        <w:widowControl w:val="0"/>
        <w:snapToGrid w:val="0"/>
        <w:spacing w:line="360" w:lineRule="auto"/>
        <w:rPr>
          <w:rFonts w:eastAsia="仿宋_GB2312"/>
          <w:sz w:val="32"/>
          <w:szCs w:val="32"/>
        </w:rPr>
      </w:pPr>
      <w:r>
        <w:rPr>
          <w:rFonts w:eastAsia="仿宋_GB2312"/>
          <w:sz w:val="32"/>
          <w:szCs w:val="32"/>
        </w:rPr>
        <w:t>　　（二）本方案由县农业农村局负责解释。</w:t>
      </w:r>
    </w:p>
    <w:p>
      <w:pPr>
        <w:widowControl w:val="0"/>
        <w:snapToGrid w:val="0"/>
        <w:spacing w:line="360" w:lineRule="auto"/>
        <w:ind w:firstLine="4160" w:firstLineChars="1300"/>
        <w:rPr>
          <w:rFonts w:eastAsia="仿宋_GB2312"/>
          <w:sz w:val="32"/>
          <w:szCs w:val="32"/>
        </w:rPr>
      </w:pPr>
    </w:p>
    <w:p>
      <w:pPr>
        <w:widowControl w:val="0"/>
        <w:snapToGrid w:val="0"/>
        <w:spacing w:line="360" w:lineRule="auto"/>
        <w:ind w:firstLine="4160" w:firstLineChars="1300"/>
        <w:rPr>
          <w:rFonts w:eastAsia="仿宋_GB2312"/>
          <w:sz w:val="32"/>
          <w:szCs w:val="32"/>
        </w:rPr>
      </w:pPr>
    </w:p>
    <w:p>
      <w:pPr>
        <w:widowControl w:val="0"/>
        <w:snapToGrid w:val="0"/>
        <w:spacing w:line="360" w:lineRule="auto"/>
        <w:ind w:firstLine="4160" w:firstLineChars="1300"/>
        <w:rPr>
          <w:rFonts w:eastAsia="仿宋_GB2312"/>
          <w:sz w:val="32"/>
          <w:szCs w:val="32"/>
        </w:rPr>
      </w:pPr>
    </w:p>
    <w:p>
      <w:pPr>
        <w:widowControl w:val="0"/>
        <w:snapToGrid w:val="0"/>
        <w:spacing w:line="360" w:lineRule="auto"/>
        <w:rPr>
          <w:rFonts w:eastAsia="仿宋_GB2312"/>
          <w:sz w:val="32"/>
          <w:szCs w:val="32"/>
        </w:rPr>
      </w:pPr>
    </w:p>
    <w:p>
      <w:pPr>
        <w:widowControl w:val="0"/>
        <w:snapToGrid w:val="0"/>
        <w:spacing w:line="360" w:lineRule="auto"/>
        <w:rPr>
          <w:rFonts w:eastAsia="仿宋_GB2312"/>
          <w:sz w:val="32"/>
          <w:szCs w:val="32"/>
        </w:rPr>
      </w:pPr>
    </w:p>
    <w:p>
      <w:pPr>
        <w:rPr>
          <w:rFonts w:hint="eastAsia" w:eastAsia="仿宋_GB2312"/>
          <w:sz w:val="32"/>
          <w:szCs w:val="32"/>
          <w:lang w:eastAsia="zh-CN"/>
        </w:rPr>
      </w:pPr>
      <w:bookmarkStart w:id="0" w:name="_GoBack"/>
      <w:bookmarkEnd w:id="0"/>
    </w:p>
    <w:p>
      <w:pPr>
        <w:rPr>
          <w:rFonts w:hint="eastAsia" w:eastAsia="仿宋_GB2312"/>
          <w:sz w:val="32"/>
          <w:szCs w:val="32"/>
          <w:lang w:eastAsia="zh-CN"/>
        </w:rPr>
      </w:pPr>
    </w:p>
    <w:sectPr>
      <w:headerReference r:id="rId3" w:type="default"/>
      <w:footerReference r:id="rId4" w:type="default"/>
      <w:pgSz w:w="11905" w:h="16837"/>
      <w:pgMar w:top="2098" w:right="1474" w:bottom="1985" w:left="1588" w:header="566" w:footer="566" w:gutter="0"/>
      <w:pgNumType w:start="1"/>
      <w:cols w:space="368"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97527"/>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widowControl w:val="0"/>
      <w:snapToGrid w:val="0"/>
      <w:spacing w:line="0" w:lineRule="atLeast"/>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w:pict>
        <v:shape id="_x0000_s1025" o:spid="_x0000_s1025" o:spt="202" type="#_x0000_t202" style="position:absolute;left:0pt;margin-left:56.65pt;margin-top:28.3pt;height:14.15pt;width:481.85pt;mso-position-horizontal-relative:page;mso-position-vertical-relative:page;z-index:-251658240;mso-width-relative:page;mso-height-relative:page;" filled="f" stroked="f" coordsize="21600,21600" o:allowincell="f">
          <v:path/>
          <v:fill on="f" opacity="0f" o:opacity2="65535f" focussize="0,0"/>
          <v:stroke on="f" joinstyle="miter"/>
          <v:imagedata o:title=""/>
          <o:lock v:ext="edit"/>
          <v:shadow on="t" color="#A0A0A4" offset="0pt,0pt"/>
          <v:textbox inset="0mm,0mm,0mm,0m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F4F4D"/>
    <w:rsid w:val="000F0C6C"/>
    <w:rsid w:val="001F1C29"/>
    <w:rsid w:val="002534BB"/>
    <w:rsid w:val="00254969"/>
    <w:rsid w:val="002F4F4D"/>
    <w:rsid w:val="00373EE4"/>
    <w:rsid w:val="00375991"/>
    <w:rsid w:val="004C7962"/>
    <w:rsid w:val="004F30D7"/>
    <w:rsid w:val="00523605"/>
    <w:rsid w:val="00572606"/>
    <w:rsid w:val="005D2DF4"/>
    <w:rsid w:val="00667DF6"/>
    <w:rsid w:val="00687A93"/>
    <w:rsid w:val="006A304F"/>
    <w:rsid w:val="00707422"/>
    <w:rsid w:val="00772143"/>
    <w:rsid w:val="007D7EDF"/>
    <w:rsid w:val="008D0088"/>
    <w:rsid w:val="00954790"/>
    <w:rsid w:val="00A27903"/>
    <w:rsid w:val="00A605F5"/>
    <w:rsid w:val="00AD51DE"/>
    <w:rsid w:val="00AE3A1C"/>
    <w:rsid w:val="00AF37FC"/>
    <w:rsid w:val="00B53013"/>
    <w:rsid w:val="00B94C0A"/>
    <w:rsid w:val="00BC448C"/>
    <w:rsid w:val="00C56219"/>
    <w:rsid w:val="00CA543E"/>
    <w:rsid w:val="00CE5C88"/>
    <w:rsid w:val="00D633C9"/>
    <w:rsid w:val="00EB1FB5"/>
    <w:rsid w:val="00F728C8"/>
    <w:rsid w:val="00FB6926"/>
    <w:rsid w:val="185B4A5E"/>
    <w:rsid w:val="195719DD"/>
    <w:rsid w:val="471B68CE"/>
    <w:rsid w:val="58B71C77"/>
    <w:rsid w:val="640F51F7"/>
    <w:rsid w:val="6F2F5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kern w:val="0"/>
      <w:sz w:val="21"/>
      <w:szCs w:val="20"/>
      <w:u w:color="000000"/>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5"/>
    <w:unhideWhenUsed/>
    <w:qFormat/>
    <w:uiPriority w:val="99"/>
    <w:pPr>
      <w:tabs>
        <w:tab w:val="center" w:pos="4320"/>
        <w:tab w:val="right" w:pos="8640"/>
      </w:tabs>
      <w:spacing w:after="200" w:line="276" w:lineRule="auto"/>
      <w:jc w:val="left"/>
      <w:textAlignment w:val="auto"/>
    </w:pPr>
    <w:rPr>
      <w:rFonts w:asciiTheme="minorHAnsi" w:hAnsiTheme="minorHAnsi" w:eastAsiaTheme="minorEastAsia" w:cstheme="minorBidi"/>
      <w:color w:val="auto"/>
      <w:sz w:val="22"/>
      <w:szCs w:val="22"/>
    </w:rPr>
  </w:style>
  <w:style w:type="character" w:customStyle="1" w:styleId="5">
    <w:name w:val="页脚 Char"/>
    <w:basedOn w:val="4"/>
    <w:link w:val="2"/>
    <w:qFormat/>
    <w:uiPriority w:val="99"/>
    <w:rPr>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319</Words>
  <Characters>1820</Characters>
  <Lines>15</Lines>
  <Paragraphs>4</Paragraphs>
  <TotalTime>0</TotalTime>
  <ScaleCrop>false</ScaleCrop>
  <LinksUpToDate>false</LinksUpToDate>
  <CharactersWithSpaces>2135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2019-07-02T01:10:00Z</dcterms:created>
  <dc:creator>Administrator</dc:creator>
  <cp:lastModifiedBy>小敏</cp:lastModifiedBy>
  <cp:lastPrinted>2019-07-30T01:51:00Z</cp:lastPrinted>
  <dcterms:modified xsi:type="dcterms:W3CDTF">2019-07-30T05:15:12Z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