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29" w:rsidRPr="00192529" w:rsidRDefault="00192529" w:rsidP="00192529">
      <w:pPr>
        <w:snapToGrid w:val="0"/>
        <w:spacing w:line="560" w:lineRule="exact"/>
        <w:ind w:rightChars="84" w:right="176"/>
        <w:jc w:val="left"/>
        <w:rPr>
          <w:rFonts w:ascii="仿宋_GB2312" w:eastAsia="仿宋_GB2312" w:hAnsi="Times New Roman"/>
          <w:sz w:val="32"/>
          <w:szCs w:val="32"/>
        </w:rPr>
      </w:pPr>
      <w:r w:rsidRPr="00192529">
        <w:rPr>
          <w:rFonts w:ascii="仿宋_GB2312" w:eastAsia="仿宋_GB2312" w:hAnsi="Times New Roman" w:hint="eastAsia"/>
          <w:sz w:val="32"/>
          <w:szCs w:val="32"/>
        </w:rPr>
        <w:t>附件</w:t>
      </w:r>
      <w:r w:rsidR="00342240">
        <w:rPr>
          <w:rFonts w:ascii="仿宋_GB2312" w:eastAsia="仿宋_GB2312" w:hAnsi="Times New Roman" w:hint="eastAsia"/>
          <w:sz w:val="32"/>
          <w:szCs w:val="32"/>
        </w:rPr>
        <w:t>：</w:t>
      </w:r>
    </w:p>
    <w:p w:rsidR="00BB7DD7" w:rsidRDefault="00BB7DD7" w:rsidP="009E12D8">
      <w:pPr>
        <w:snapToGrid w:val="0"/>
        <w:spacing w:line="560" w:lineRule="exact"/>
        <w:ind w:rightChars="84" w:right="176"/>
        <w:jc w:val="center"/>
        <w:rPr>
          <w:rFonts w:ascii="Times New Roman" w:eastAsia="方正小标宋简体" w:hAnsi="Times New Roman"/>
          <w:sz w:val="44"/>
          <w:szCs w:val="44"/>
        </w:rPr>
      </w:pPr>
      <w:r>
        <w:rPr>
          <w:rFonts w:ascii="Times New Roman" w:eastAsia="方正小标宋简体" w:hAnsi="Times New Roman" w:hint="eastAsia"/>
          <w:sz w:val="44"/>
          <w:szCs w:val="44"/>
        </w:rPr>
        <w:t>翁源县</w:t>
      </w:r>
      <w:r>
        <w:rPr>
          <w:rFonts w:ascii="Times New Roman" w:eastAsia="方正小标宋简体" w:hAnsi="Times New Roman"/>
          <w:sz w:val="44"/>
          <w:szCs w:val="44"/>
        </w:rPr>
        <w:t>人民政府关于</w:t>
      </w:r>
      <w:r>
        <w:rPr>
          <w:rFonts w:ascii="Times New Roman" w:eastAsia="方正小标宋简体" w:hAnsi="Times New Roman" w:hint="eastAsia"/>
          <w:sz w:val="44"/>
          <w:szCs w:val="44"/>
        </w:rPr>
        <w:t>设立翁源县县城城</w:t>
      </w:r>
      <w:r>
        <w:rPr>
          <w:rFonts w:ascii="Times New Roman" w:eastAsia="方正小标宋简体" w:hAnsi="Times New Roman"/>
          <w:sz w:val="44"/>
          <w:szCs w:val="44"/>
        </w:rPr>
        <w:t>区</w:t>
      </w:r>
    </w:p>
    <w:p w:rsidR="00E1193C" w:rsidRDefault="00BB7DD7" w:rsidP="009E12D8">
      <w:pPr>
        <w:snapToGrid w:val="0"/>
        <w:spacing w:line="560" w:lineRule="exact"/>
        <w:ind w:rightChars="84" w:right="176"/>
        <w:jc w:val="center"/>
        <w:rPr>
          <w:rFonts w:ascii="Times New Roman" w:eastAsia="方正小标宋简体" w:hAnsi="Times New Roman"/>
          <w:sz w:val="44"/>
          <w:szCs w:val="44"/>
        </w:rPr>
      </w:pPr>
      <w:r>
        <w:rPr>
          <w:rFonts w:ascii="Times New Roman" w:eastAsia="方正小标宋简体" w:hAnsi="Times New Roman"/>
          <w:sz w:val="44"/>
          <w:szCs w:val="44"/>
        </w:rPr>
        <w:t>高污染燃料禁燃区的通告</w:t>
      </w:r>
    </w:p>
    <w:p w:rsidR="00BB7DD7" w:rsidRDefault="00BB7DD7" w:rsidP="009E12D8">
      <w:pPr>
        <w:snapToGrid w:val="0"/>
        <w:spacing w:line="560" w:lineRule="exact"/>
        <w:ind w:rightChars="84" w:right="176"/>
        <w:jc w:val="center"/>
        <w:rPr>
          <w:rFonts w:eastAsia="仿宋_GB2312"/>
          <w:sz w:val="32"/>
        </w:rPr>
      </w:pPr>
      <w:r>
        <w:rPr>
          <w:rFonts w:ascii="Times New Roman" w:eastAsia="方正小标宋简体" w:hAnsi="Times New Roman" w:hint="eastAsia"/>
          <w:sz w:val="44"/>
          <w:szCs w:val="44"/>
        </w:rPr>
        <w:t>（征求意见稿）</w:t>
      </w:r>
    </w:p>
    <w:p w:rsidR="00BB7DD7" w:rsidRDefault="00BB7DD7" w:rsidP="009E12D8">
      <w:pPr>
        <w:widowControl/>
        <w:spacing w:line="560" w:lineRule="exact"/>
        <w:ind w:firstLineChars="200" w:firstLine="640"/>
        <w:jc w:val="left"/>
        <w:rPr>
          <w:rFonts w:eastAsia="仿宋_GB2312"/>
          <w:sz w:val="32"/>
        </w:rPr>
      </w:pPr>
    </w:p>
    <w:p w:rsidR="00BB7DD7" w:rsidRDefault="00BB7DD7" w:rsidP="009E12D8">
      <w:pPr>
        <w:pStyle w:val="NewNewNewNewNewNew"/>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为进一步改善我县空气环境质量，保障人民群众身体健康，根据《中华人民共和国大气污染防治法》和环境保护部《关于发布〈高污染燃料目录〉的通知》（国环规大气〔2017〕2号）、《广东省环境保护厅 广东省发展和改革委员会 广东省经济和信息化委员会 广东省质量技术监督局关于印发广东省锅炉污染整治实施方案（2016-2018年）的通知》（粤环〔2016〕12号）、</w:t>
      </w:r>
      <w:r>
        <w:rPr>
          <w:rFonts w:ascii="仿宋_GB2312" w:eastAsia="仿宋_GB2312" w:hAnsi="仿宋_GB2312" w:cs="仿宋_GB2312"/>
          <w:sz w:val="32"/>
          <w:szCs w:val="32"/>
        </w:rPr>
        <w:t>《广东省环境保护厅关于进一步加强高污染燃料禁燃区管理的通知》（粤环函〔2017〕1205号）</w:t>
      </w:r>
      <w:r>
        <w:rPr>
          <w:rFonts w:ascii="仿宋_GB2312" w:eastAsia="仿宋_GB2312" w:hAnsi="仿宋_GB2312" w:cs="仿宋_GB2312" w:hint="eastAsia"/>
          <w:sz w:val="32"/>
          <w:szCs w:val="32"/>
        </w:rPr>
        <w:t>以及</w:t>
      </w:r>
      <w:r>
        <w:rPr>
          <w:rFonts w:eastAsia="仿宋_GB2312" w:hint="eastAsia"/>
          <w:color w:val="000000" w:themeColor="text1"/>
          <w:sz w:val="32"/>
          <w:szCs w:val="32"/>
        </w:rPr>
        <w:t>《韶关市环境保护局关于落实高污染燃料禁燃区管理要求的通知》（韶环函</w:t>
      </w:r>
      <w:r>
        <w:rPr>
          <w:rFonts w:ascii="仿宋_GB2312" w:eastAsia="仿宋_GB2312" w:hint="eastAsia"/>
          <w:color w:val="000000"/>
          <w:sz w:val="32"/>
          <w:szCs w:val="32"/>
        </w:rPr>
        <w:t>〔</w:t>
      </w:r>
      <w:r w:rsidRPr="00984289">
        <w:rPr>
          <w:rFonts w:ascii="仿宋_GB2312" w:eastAsia="仿宋_GB2312" w:hint="eastAsia"/>
          <w:color w:val="000000"/>
          <w:sz w:val="32"/>
          <w:szCs w:val="32"/>
        </w:rPr>
        <w:t>2017</w:t>
      </w:r>
      <w:r>
        <w:rPr>
          <w:rFonts w:ascii="仿宋_GB2312" w:eastAsia="仿宋_GB2312" w:hint="eastAsia"/>
          <w:color w:val="000000"/>
          <w:sz w:val="32"/>
          <w:szCs w:val="32"/>
        </w:rPr>
        <w:t>〕314</w:t>
      </w:r>
      <w:r w:rsidRPr="00984289">
        <w:rPr>
          <w:rFonts w:ascii="仿宋_GB2312" w:eastAsia="仿宋_GB2312" w:hint="eastAsia"/>
          <w:color w:val="000000"/>
          <w:sz w:val="32"/>
          <w:szCs w:val="32"/>
        </w:rPr>
        <w:t>号</w:t>
      </w:r>
      <w:r>
        <w:rPr>
          <w:rFonts w:eastAsia="仿宋_GB2312" w:hint="eastAsia"/>
          <w:color w:val="000000" w:themeColor="text1"/>
          <w:sz w:val="32"/>
          <w:szCs w:val="32"/>
        </w:rPr>
        <w:t>）</w:t>
      </w:r>
      <w:r w:rsidR="001A4EFC">
        <w:rPr>
          <w:rFonts w:eastAsia="仿宋_GB2312" w:hint="eastAsia"/>
          <w:color w:val="000000" w:themeColor="text1"/>
          <w:sz w:val="32"/>
          <w:szCs w:val="32"/>
        </w:rPr>
        <w:t>有</w:t>
      </w:r>
      <w:r>
        <w:rPr>
          <w:rFonts w:eastAsia="仿宋_GB2312" w:hint="eastAsia"/>
          <w:color w:val="000000" w:themeColor="text1"/>
          <w:sz w:val="32"/>
          <w:szCs w:val="32"/>
        </w:rPr>
        <w:t>关规定及要求</w:t>
      </w:r>
      <w:r>
        <w:rPr>
          <w:rFonts w:eastAsia="仿宋_GB2312"/>
          <w:sz w:val="32"/>
          <w:szCs w:val="32"/>
        </w:rPr>
        <w:t>，结合我</w:t>
      </w:r>
      <w:r>
        <w:rPr>
          <w:rFonts w:eastAsia="仿宋_GB2312" w:hint="eastAsia"/>
          <w:sz w:val="32"/>
          <w:szCs w:val="32"/>
        </w:rPr>
        <w:t>县</w:t>
      </w:r>
      <w:r>
        <w:rPr>
          <w:rFonts w:eastAsia="仿宋_GB2312"/>
          <w:sz w:val="32"/>
          <w:szCs w:val="32"/>
        </w:rPr>
        <w:t>实际</w:t>
      </w:r>
      <w:r>
        <w:rPr>
          <w:rFonts w:eastAsia="仿宋_GB2312" w:hint="eastAsia"/>
          <w:sz w:val="32"/>
          <w:szCs w:val="32"/>
        </w:rPr>
        <w:t>情况</w:t>
      </w:r>
      <w:r>
        <w:rPr>
          <w:rFonts w:eastAsia="仿宋_GB2312"/>
          <w:sz w:val="32"/>
          <w:szCs w:val="32"/>
        </w:rPr>
        <w:t>，决定在</w:t>
      </w:r>
      <w:r>
        <w:rPr>
          <w:rFonts w:eastAsia="仿宋_GB2312" w:hint="eastAsia"/>
          <w:sz w:val="32"/>
          <w:szCs w:val="32"/>
        </w:rPr>
        <w:t>县城规划区范围内</w:t>
      </w:r>
      <w:r>
        <w:rPr>
          <w:rFonts w:eastAsia="仿宋_GB2312"/>
          <w:sz w:val="32"/>
          <w:szCs w:val="32"/>
        </w:rPr>
        <w:t>划定高污染燃料禁燃区（以下简称</w:t>
      </w:r>
      <w:r>
        <w:rPr>
          <w:rFonts w:eastAsia="仿宋_GB2312"/>
          <w:sz w:val="32"/>
          <w:szCs w:val="32"/>
        </w:rPr>
        <w:t>“</w:t>
      </w:r>
      <w:r>
        <w:rPr>
          <w:rFonts w:eastAsia="仿宋_GB2312"/>
          <w:sz w:val="32"/>
          <w:szCs w:val="32"/>
        </w:rPr>
        <w:t>禁燃区</w:t>
      </w:r>
      <w:r>
        <w:rPr>
          <w:rFonts w:eastAsia="仿宋_GB2312"/>
          <w:sz w:val="32"/>
          <w:szCs w:val="32"/>
        </w:rPr>
        <w:t>”</w:t>
      </w:r>
      <w:r>
        <w:rPr>
          <w:rFonts w:eastAsia="仿宋_GB2312"/>
          <w:sz w:val="32"/>
          <w:szCs w:val="32"/>
        </w:rPr>
        <w:t>）。现将有关事项通告如下：</w:t>
      </w:r>
    </w:p>
    <w:p w:rsidR="00BB7DD7" w:rsidRDefault="00BB7DD7" w:rsidP="009E12D8">
      <w:pPr>
        <w:pStyle w:val="NewNewNewNewNewNew"/>
        <w:spacing w:line="560" w:lineRule="exact"/>
        <w:ind w:firstLineChars="200" w:firstLine="640"/>
        <w:rPr>
          <w:rFonts w:ascii="黑体" w:eastAsia="黑体" w:hAnsi="黑体"/>
          <w:bCs/>
          <w:sz w:val="32"/>
          <w:szCs w:val="32"/>
        </w:rPr>
      </w:pPr>
      <w:r>
        <w:rPr>
          <w:rFonts w:ascii="黑体" w:eastAsia="黑体" w:hAnsi="黑体" w:hint="eastAsia"/>
          <w:bCs/>
          <w:sz w:val="32"/>
          <w:szCs w:val="32"/>
        </w:rPr>
        <w:t>一、“禁燃区”范围</w:t>
      </w:r>
    </w:p>
    <w:p w:rsidR="00BB7DD7" w:rsidRDefault="00BB7DD7" w:rsidP="009E12D8">
      <w:pPr>
        <w:pStyle w:val="NewNewNewNewNewNew"/>
        <w:spacing w:line="560" w:lineRule="exact"/>
        <w:ind w:firstLineChars="200" w:firstLine="640"/>
        <w:rPr>
          <w:rFonts w:eastAsia="仿宋_GB2312"/>
          <w:sz w:val="32"/>
          <w:szCs w:val="32"/>
        </w:rPr>
      </w:pPr>
      <w:r>
        <w:rPr>
          <w:rFonts w:eastAsia="仿宋_GB2312" w:hint="eastAsia"/>
          <w:sz w:val="32"/>
          <w:szCs w:val="32"/>
        </w:rPr>
        <w:t>根据我县大气环境质量改善要求，结合翁源县龙仙镇总体规划图，将我县建成区及近郊划定为</w:t>
      </w:r>
      <w:r>
        <w:rPr>
          <w:rFonts w:eastAsia="仿宋_GB2312"/>
          <w:sz w:val="32"/>
          <w:szCs w:val="32"/>
        </w:rPr>
        <w:t>“</w:t>
      </w:r>
      <w:r>
        <w:rPr>
          <w:rFonts w:eastAsia="仿宋_GB2312"/>
          <w:sz w:val="32"/>
          <w:szCs w:val="32"/>
        </w:rPr>
        <w:t>禁燃区</w:t>
      </w:r>
      <w:r>
        <w:rPr>
          <w:rFonts w:eastAsia="仿宋_GB2312"/>
          <w:sz w:val="32"/>
          <w:szCs w:val="32"/>
        </w:rPr>
        <w:t>”</w:t>
      </w:r>
      <w:r>
        <w:rPr>
          <w:rFonts w:eastAsia="仿宋_GB2312" w:hint="eastAsia"/>
          <w:sz w:val="32"/>
          <w:szCs w:val="32"/>
        </w:rPr>
        <w:t>，</w:t>
      </w:r>
      <w:r>
        <w:rPr>
          <w:rFonts w:eastAsia="仿宋_GB2312"/>
          <w:sz w:val="32"/>
          <w:szCs w:val="32"/>
        </w:rPr>
        <w:t>范围</w:t>
      </w:r>
      <w:r>
        <w:rPr>
          <w:rFonts w:eastAsia="仿宋_GB2312" w:hint="eastAsia"/>
          <w:sz w:val="32"/>
          <w:szCs w:val="32"/>
        </w:rPr>
        <w:t>如下（详见附图）</w:t>
      </w:r>
      <w:r>
        <w:rPr>
          <w:rFonts w:eastAsia="仿宋_GB2312"/>
          <w:sz w:val="32"/>
          <w:szCs w:val="32"/>
        </w:rPr>
        <w:t>：</w:t>
      </w:r>
    </w:p>
    <w:p w:rsidR="00BB7DD7" w:rsidRDefault="001A4EFC" w:rsidP="009E12D8">
      <w:pPr>
        <w:spacing w:line="560" w:lineRule="exact"/>
        <w:ind w:firstLineChars="200" w:firstLine="640"/>
        <w:rPr>
          <w:rFonts w:ascii="仿宋_GB2312" w:eastAsia="仿宋_GB2312"/>
          <w:sz w:val="32"/>
          <w:szCs w:val="32"/>
        </w:rPr>
      </w:pPr>
      <w:r w:rsidRPr="001A4EFC">
        <w:rPr>
          <w:rFonts w:ascii="仿宋_GB2312" w:eastAsia="仿宋_GB2312" w:hAnsi="黑体" w:cs="黑体" w:hint="eastAsia"/>
          <w:sz w:val="32"/>
          <w:szCs w:val="32"/>
        </w:rPr>
        <w:t>（一）</w:t>
      </w:r>
      <w:r w:rsidR="00BB7DD7" w:rsidRPr="001A4EFC">
        <w:rPr>
          <w:rFonts w:ascii="黑体" w:eastAsia="黑体" w:hAnsi="黑体" w:cs="黑体" w:hint="eastAsia"/>
          <w:sz w:val="32"/>
          <w:szCs w:val="32"/>
        </w:rPr>
        <w:t>东部边界</w:t>
      </w:r>
      <w:r w:rsidR="00BB7DD7" w:rsidRPr="001A4EFC">
        <w:rPr>
          <w:rFonts w:ascii="仿宋_GB2312" w:eastAsia="仿宋_GB2312" w:hAnsi="黑体" w:cs="黑体" w:hint="eastAsia"/>
          <w:sz w:val="32"/>
          <w:szCs w:val="32"/>
        </w:rPr>
        <w:t>：</w:t>
      </w:r>
      <w:r w:rsidR="00BB7DD7">
        <w:rPr>
          <w:rFonts w:ascii="仿宋_GB2312" w:eastAsia="仿宋_GB2312" w:hint="eastAsia"/>
          <w:sz w:val="32"/>
          <w:szCs w:val="32"/>
        </w:rPr>
        <w:t>北起龙仙镇沙坪村委洋眼坝村小组，沿县城东部环城快速路至龙仙镇联群村委江下桥。</w:t>
      </w:r>
    </w:p>
    <w:p w:rsidR="00BB7DD7" w:rsidRDefault="001A4EFC" w:rsidP="001A4EFC">
      <w:pPr>
        <w:spacing w:line="560" w:lineRule="exact"/>
        <w:ind w:firstLineChars="200" w:firstLine="640"/>
        <w:rPr>
          <w:rFonts w:ascii="仿宋_GB2312" w:eastAsia="仿宋_GB2312"/>
          <w:sz w:val="32"/>
          <w:szCs w:val="32"/>
        </w:rPr>
      </w:pPr>
      <w:r w:rsidRPr="001A4EFC">
        <w:rPr>
          <w:rFonts w:ascii="仿宋_GB2312" w:eastAsia="仿宋_GB2312" w:hAnsi="黑体" w:cs="黑体" w:hint="eastAsia"/>
          <w:bCs/>
          <w:sz w:val="32"/>
          <w:szCs w:val="32"/>
        </w:rPr>
        <w:t>（二）</w:t>
      </w:r>
      <w:r w:rsidR="00BB7DD7" w:rsidRPr="001A4EFC">
        <w:rPr>
          <w:rFonts w:ascii="黑体" w:eastAsia="黑体" w:hAnsi="黑体" w:cs="黑体" w:hint="eastAsia"/>
          <w:sz w:val="32"/>
          <w:szCs w:val="32"/>
        </w:rPr>
        <w:t>南部边界</w:t>
      </w:r>
      <w:r w:rsidR="00BB7DD7" w:rsidRPr="001A4EFC">
        <w:rPr>
          <w:rFonts w:ascii="仿宋_GB2312" w:eastAsia="仿宋_GB2312" w:hAnsi="黑体" w:cs="黑体" w:hint="eastAsia"/>
          <w:sz w:val="32"/>
          <w:szCs w:val="32"/>
        </w:rPr>
        <w:t>：</w:t>
      </w:r>
      <w:r w:rsidR="00BB7DD7">
        <w:rPr>
          <w:rFonts w:ascii="仿宋_GB2312" w:eastAsia="仿宋_GB2312" w:hint="eastAsia"/>
          <w:sz w:val="32"/>
          <w:szCs w:val="32"/>
        </w:rPr>
        <w:t>东起龙仙镇联群村委江下桥沿县城环</w:t>
      </w:r>
      <w:r w:rsidR="00BB7DD7">
        <w:rPr>
          <w:rFonts w:ascii="仿宋_GB2312" w:eastAsia="仿宋_GB2312" w:hint="eastAsia"/>
          <w:sz w:val="32"/>
          <w:szCs w:val="32"/>
        </w:rPr>
        <w:lastRenderedPageBreak/>
        <w:t>城快速路至龙仙镇民主村委龙公村小组西南角（县道X356K3+500），再沿县道X356往西南延伸至龙仙镇民主村委黎屋村小组（县道X356K5+700）。</w:t>
      </w:r>
    </w:p>
    <w:p w:rsidR="00BB7DD7" w:rsidRDefault="001A4EFC" w:rsidP="001A4EFC">
      <w:pPr>
        <w:spacing w:line="560" w:lineRule="exact"/>
        <w:ind w:firstLineChars="200" w:firstLine="640"/>
        <w:rPr>
          <w:rFonts w:ascii="仿宋_GB2312" w:eastAsia="仿宋_GB2312" w:hAnsi="宋体" w:cs="宋体"/>
          <w:sz w:val="32"/>
          <w:szCs w:val="32"/>
        </w:rPr>
      </w:pPr>
      <w:r w:rsidRPr="001A4EFC">
        <w:rPr>
          <w:rFonts w:ascii="仿宋_GB2312" w:eastAsia="仿宋_GB2312" w:hAnsi="黑体" w:cs="黑体" w:hint="eastAsia"/>
          <w:bCs/>
          <w:sz w:val="32"/>
          <w:szCs w:val="32"/>
        </w:rPr>
        <w:t>（三）</w:t>
      </w:r>
      <w:r w:rsidR="00BB7DD7" w:rsidRPr="001A4EFC">
        <w:rPr>
          <w:rFonts w:ascii="黑体" w:eastAsia="黑体" w:hAnsi="黑体" w:cs="黑体" w:hint="eastAsia"/>
          <w:sz w:val="32"/>
          <w:szCs w:val="32"/>
        </w:rPr>
        <w:t>西部边界</w:t>
      </w:r>
      <w:r w:rsidR="00BB7DD7" w:rsidRPr="001A4EFC">
        <w:rPr>
          <w:rFonts w:ascii="仿宋_GB2312" w:eastAsia="仿宋_GB2312" w:hAnsi="黑体" w:cs="黑体" w:hint="eastAsia"/>
          <w:sz w:val="32"/>
          <w:szCs w:val="32"/>
        </w:rPr>
        <w:t>：</w:t>
      </w:r>
      <w:r w:rsidR="00BB7DD7">
        <w:rPr>
          <w:rFonts w:ascii="仿宋_GB2312" w:eastAsia="仿宋_GB2312" w:hint="eastAsia"/>
          <w:sz w:val="32"/>
          <w:szCs w:val="32"/>
        </w:rPr>
        <w:t>南起龙仙镇民主村委黎屋村小组（县道X356K5+700）直线连接县公安局群陂电子监控卡口，沿省道S341往东北方向延伸至翁山桥（龙仙一号桥）桥头，从翁山桥头沿滃江西岸至河口桥北桥头，沿原省道S341延伸至龙仙镇河口村委石坑、狮头栋、石壁背东南山脚，再从石壁背</w:t>
      </w:r>
      <w:r w:rsidR="00BB7DD7">
        <w:rPr>
          <w:rFonts w:ascii="仿宋_GB2312" w:hAnsi="宋体" w:cs="宋体" w:hint="eastAsia"/>
          <w:sz w:val="32"/>
          <w:szCs w:val="32"/>
        </w:rPr>
        <w:t>滃</w:t>
      </w:r>
      <w:r w:rsidR="00BB7DD7">
        <w:rPr>
          <w:rFonts w:ascii="仿宋_GB2312" w:eastAsia="仿宋_GB2312" w:hAnsi="宋体" w:cs="宋体" w:hint="eastAsia"/>
          <w:sz w:val="32"/>
          <w:szCs w:val="32"/>
        </w:rPr>
        <w:t>江西岸至江尾镇联明村委田螺湖村小组湖洋子坑。</w:t>
      </w:r>
    </w:p>
    <w:p w:rsidR="00BB7DD7" w:rsidRDefault="001A4EFC" w:rsidP="001A4EFC">
      <w:pPr>
        <w:spacing w:line="560" w:lineRule="exact"/>
        <w:ind w:firstLineChars="200" w:firstLine="640"/>
        <w:rPr>
          <w:rFonts w:ascii="仿宋_GB2312" w:eastAsia="仿宋_GB2312"/>
          <w:sz w:val="32"/>
          <w:szCs w:val="32"/>
        </w:rPr>
      </w:pPr>
      <w:r w:rsidRPr="001A4EFC">
        <w:rPr>
          <w:rFonts w:ascii="仿宋_GB2312" w:eastAsia="仿宋_GB2312" w:hAnsi="黑体" w:cs="黑体" w:hint="eastAsia"/>
          <w:bCs/>
          <w:sz w:val="32"/>
          <w:szCs w:val="32"/>
        </w:rPr>
        <w:t>（四）</w:t>
      </w:r>
      <w:r w:rsidR="00BB7DD7" w:rsidRPr="001A4EFC">
        <w:rPr>
          <w:rFonts w:ascii="黑体" w:eastAsia="黑体" w:hAnsi="黑体" w:cs="黑体" w:hint="eastAsia"/>
          <w:sz w:val="32"/>
          <w:szCs w:val="32"/>
        </w:rPr>
        <w:t>北部边界</w:t>
      </w:r>
      <w:r w:rsidR="00BB7DD7" w:rsidRPr="001A4EFC">
        <w:rPr>
          <w:rFonts w:ascii="仿宋_GB2312" w:eastAsia="仿宋_GB2312" w:hAnsi="黑体" w:cs="黑体" w:hint="eastAsia"/>
          <w:sz w:val="32"/>
          <w:szCs w:val="32"/>
        </w:rPr>
        <w:t>：</w:t>
      </w:r>
      <w:r w:rsidR="00BB7DD7">
        <w:rPr>
          <w:rFonts w:ascii="仿宋_GB2312" w:eastAsia="仿宋_GB2312" w:hAnsi="宋体" w:cs="宋体" w:hint="eastAsia"/>
          <w:sz w:val="32"/>
          <w:szCs w:val="32"/>
        </w:rPr>
        <w:t>西起江尾镇联明村委田螺湖村小组湖洋子坑，东至</w:t>
      </w:r>
      <w:r w:rsidR="00BB7DD7">
        <w:rPr>
          <w:rFonts w:ascii="仿宋_GB2312" w:eastAsia="仿宋_GB2312" w:hint="eastAsia"/>
          <w:sz w:val="32"/>
          <w:szCs w:val="32"/>
        </w:rPr>
        <w:t>龙仙镇沙坪村委洋眼坝村小组。</w:t>
      </w:r>
    </w:p>
    <w:p w:rsidR="00BB7DD7" w:rsidRDefault="003E0B2E" w:rsidP="009E12D8">
      <w:pPr>
        <w:pStyle w:val="NewNewNewNewNewNew"/>
        <w:spacing w:line="560" w:lineRule="exact"/>
        <w:ind w:firstLineChars="200" w:firstLine="640"/>
        <w:rPr>
          <w:rFonts w:ascii="黑体" w:eastAsia="黑体" w:hAnsi="黑体"/>
          <w:bCs/>
          <w:sz w:val="32"/>
          <w:szCs w:val="32"/>
        </w:rPr>
      </w:pPr>
      <w:r>
        <w:rPr>
          <w:rFonts w:ascii="黑体" w:eastAsia="黑体" w:hAnsi="黑体" w:hint="eastAsia"/>
          <w:bCs/>
          <w:sz w:val="32"/>
          <w:szCs w:val="32"/>
        </w:rPr>
        <w:t>二</w:t>
      </w:r>
      <w:r w:rsidR="00BB7DD7">
        <w:rPr>
          <w:rFonts w:ascii="黑体" w:eastAsia="黑体" w:hAnsi="黑体" w:hint="eastAsia"/>
          <w:bCs/>
          <w:sz w:val="32"/>
          <w:szCs w:val="32"/>
        </w:rPr>
        <w:t>、“禁燃区”管理要求</w:t>
      </w:r>
    </w:p>
    <w:p w:rsidR="00DB37DB" w:rsidRDefault="00DB37DB" w:rsidP="009E12D8">
      <w:pPr>
        <w:pStyle w:val="NewNewNewNewNewNew"/>
        <w:spacing w:line="560" w:lineRule="exact"/>
        <w:ind w:firstLineChars="200" w:firstLine="640"/>
        <w:rPr>
          <w:rFonts w:ascii="仿宋_GB2312" w:eastAsia="仿宋_GB2312"/>
          <w:sz w:val="32"/>
          <w:szCs w:val="32"/>
        </w:rPr>
      </w:pPr>
      <w:r w:rsidRPr="001A4EFC">
        <w:rPr>
          <w:rFonts w:ascii="仿宋_GB2312" w:eastAsia="仿宋_GB2312" w:hint="eastAsia"/>
          <w:sz w:val="32"/>
          <w:szCs w:val="32"/>
        </w:rPr>
        <w:t>（一）</w:t>
      </w:r>
      <w:r>
        <w:rPr>
          <w:rFonts w:eastAsia="仿宋_GB2312"/>
          <w:sz w:val="32"/>
          <w:szCs w:val="32"/>
        </w:rPr>
        <w:t>“</w:t>
      </w:r>
      <w:r>
        <w:rPr>
          <w:rFonts w:eastAsia="仿宋_GB2312"/>
          <w:sz w:val="32"/>
          <w:szCs w:val="32"/>
        </w:rPr>
        <w:t>禁燃区</w:t>
      </w:r>
      <w:r>
        <w:rPr>
          <w:rFonts w:eastAsia="仿宋_GB2312"/>
          <w:sz w:val="32"/>
          <w:szCs w:val="32"/>
        </w:rPr>
        <w:t>”</w:t>
      </w:r>
      <w:r>
        <w:rPr>
          <w:rFonts w:eastAsia="仿宋_GB2312"/>
          <w:sz w:val="32"/>
          <w:szCs w:val="32"/>
        </w:rPr>
        <w:t>内禁止</w:t>
      </w:r>
      <w:r>
        <w:rPr>
          <w:rFonts w:eastAsia="仿宋_GB2312" w:hint="eastAsia"/>
          <w:sz w:val="32"/>
          <w:szCs w:val="32"/>
        </w:rPr>
        <w:t>向使用</w:t>
      </w:r>
      <w:r w:rsidR="0003729D">
        <w:rPr>
          <w:rFonts w:eastAsia="仿宋_GB2312" w:hint="eastAsia"/>
          <w:sz w:val="32"/>
          <w:szCs w:val="32"/>
        </w:rPr>
        <w:t>高污染燃料并且</w:t>
      </w:r>
      <w:r>
        <w:rPr>
          <w:rFonts w:eastAsia="仿宋_GB2312"/>
          <w:sz w:val="32"/>
          <w:szCs w:val="32"/>
        </w:rPr>
        <w:t>不能达到相应大气污染物排放标准的锅炉、窑炉或导热油炉等各类燃烧设施</w:t>
      </w:r>
      <w:r>
        <w:rPr>
          <w:rFonts w:eastAsia="仿宋_GB2312" w:hint="eastAsia"/>
          <w:sz w:val="32"/>
          <w:szCs w:val="32"/>
        </w:rPr>
        <w:t>的</w:t>
      </w:r>
      <w:r w:rsidR="00ED604D">
        <w:rPr>
          <w:rFonts w:eastAsia="仿宋_GB2312" w:hint="eastAsia"/>
          <w:sz w:val="32"/>
          <w:szCs w:val="32"/>
        </w:rPr>
        <w:t>单位、企业销售高污染燃料。</w:t>
      </w:r>
    </w:p>
    <w:p w:rsidR="00BB7DD7" w:rsidRDefault="00BB7DD7" w:rsidP="009E12D8">
      <w:pPr>
        <w:pStyle w:val="NewNewNewNewNewNew"/>
        <w:spacing w:line="560" w:lineRule="exact"/>
        <w:ind w:firstLineChars="200" w:firstLine="640"/>
        <w:rPr>
          <w:rFonts w:eastAsia="仿宋_GB2312"/>
          <w:sz w:val="32"/>
          <w:szCs w:val="32"/>
        </w:rPr>
      </w:pPr>
      <w:r w:rsidRPr="001A4EFC">
        <w:rPr>
          <w:rFonts w:ascii="仿宋_GB2312" w:eastAsia="仿宋_GB2312" w:hint="eastAsia"/>
          <w:sz w:val="32"/>
          <w:szCs w:val="32"/>
        </w:rPr>
        <w:t>（</w:t>
      </w:r>
      <w:r w:rsidR="00DB37DB">
        <w:rPr>
          <w:rFonts w:ascii="仿宋_GB2312" w:eastAsia="仿宋_GB2312" w:hint="eastAsia"/>
          <w:sz w:val="32"/>
          <w:szCs w:val="32"/>
        </w:rPr>
        <w:t>二</w:t>
      </w:r>
      <w:r w:rsidRPr="001A4EFC">
        <w:rPr>
          <w:rFonts w:ascii="仿宋_GB2312" w:eastAsia="仿宋_GB2312" w:hint="eastAsia"/>
          <w:sz w:val="32"/>
          <w:szCs w:val="32"/>
        </w:rPr>
        <w:t>）</w:t>
      </w:r>
      <w:r>
        <w:rPr>
          <w:rFonts w:eastAsia="仿宋_GB2312"/>
          <w:sz w:val="32"/>
          <w:szCs w:val="32"/>
        </w:rPr>
        <w:t>“</w:t>
      </w:r>
      <w:r>
        <w:rPr>
          <w:rFonts w:eastAsia="仿宋_GB2312"/>
          <w:sz w:val="32"/>
          <w:szCs w:val="32"/>
        </w:rPr>
        <w:t>禁燃区</w:t>
      </w:r>
      <w:r>
        <w:rPr>
          <w:rFonts w:eastAsia="仿宋_GB2312"/>
          <w:sz w:val="32"/>
          <w:szCs w:val="32"/>
        </w:rPr>
        <w:t>”</w:t>
      </w:r>
      <w:r>
        <w:rPr>
          <w:rFonts w:eastAsia="仿宋_GB2312"/>
          <w:sz w:val="32"/>
          <w:szCs w:val="32"/>
        </w:rPr>
        <w:t>内禁止新建、改建、扩建使用高污染燃料的锅炉、窑炉或导热油炉等燃烧设施。</w:t>
      </w:r>
    </w:p>
    <w:p w:rsidR="00BB7DD7" w:rsidRDefault="00BB7DD7" w:rsidP="00CF06AC">
      <w:pPr>
        <w:spacing w:line="600" w:lineRule="exact"/>
        <w:ind w:firstLineChars="200" w:firstLine="640"/>
        <w:rPr>
          <w:rFonts w:eastAsia="仿宋_GB2312"/>
          <w:sz w:val="32"/>
          <w:szCs w:val="32"/>
        </w:rPr>
      </w:pPr>
      <w:r>
        <w:rPr>
          <w:rFonts w:eastAsia="仿宋_GB2312"/>
          <w:sz w:val="32"/>
          <w:szCs w:val="32"/>
        </w:rPr>
        <w:t>（</w:t>
      </w:r>
      <w:r w:rsidR="00DB37DB">
        <w:rPr>
          <w:rFonts w:eastAsia="仿宋_GB2312" w:hint="eastAsia"/>
          <w:sz w:val="32"/>
          <w:szCs w:val="32"/>
        </w:rPr>
        <w:t>三</w:t>
      </w:r>
      <w:r>
        <w:rPr>
          <w:rFonts w:eastAsia="仿宋_GB2312"/>
          <w:sz w:val="32"/>
          <w:szCs w:val="32"/>
        </w:rPr>
        <w:t>）</w:t>
      </w:r>
      <w:r>
        <w:rPr>
          <w:rFonts w:eastAsia="仿宋_GB2312"/>
          <w:sz w:val="32"/>
          <w:szCs w:val="32"/>
        </w:rPr>
        <w:t>“</w:t>
      </w:r>
      <w:r>
        <w:rPr>
          <w:rFonts w:eastAsia="仿宋_GB2312"/>
          <w:sz w:val="32"/>
          <w:szCs w:val="32"/>
        </w:rPr>
        <w:t>禁燃区</w:t>
      </w:r>
      <w:r>
        <w:rPr>
          <w:rFonts w:eastAsia="仿宋_GB2312"/>
          <w:sz w:val="32"/>
          <w:szCs w:val="32"/>
        </w:rPr>
        <w:t>”</w:t>
      </w:r>
      <w:r w:rsidR="00CF06AC">
        <w:rPr>
          <w:rFonts w:eastAsia="仿宋_GB2312"/>
          <w:sz w:val="32"/>
          <w:szCs w:val="32"/>
        </w:rPr>
        <w:t>内</w:t>
      </w:r>
      <w:r w:rsidR="00CF06AC">
        <w:rPr>
          <w:rFonts w:eastAsia="仿宋_GB2312" w:hint="eastAsia"/>
          <w:sz w:val="32"/>
          <w:szCs w:val="32"/>
        </w:rPr>
        <w:t>使用</w:t>
      </w:r>
      <w:r w:rsidR="00CF06AC">
        <w:rPr>
          <w:rFonts w:ascii="仿宋_GB2312" w:eastAsia="仿宋_GB2312" w:hAnsi="仿宋_GB2312" w:cs="仿宋_GB2312" w:hint="eastAsia"/>
          <w:sz w:val="32"/>
          <w:szCs w:val="32"/>
        </w:rPr>
        <w:t>生物质成型燃料等</w:t>
      </w:r>
      <w:r w:rsidR="006C3A22">
        <w:rPr>
          <w:rFonts w:eastAsia="仿宋_GB2312"/>
          <w:sz w:val="32"/>
          <w:szCs w:val="32"/>
        </w:rPr>
        <w:t>高污染燃料</w:t>
      </w:r>
      <w:r w:rsidR="00CF06AC">
        <w:rPr>
          <w:rFonts w:ascii="仿宋_GB2312" w:eastAsia="仿宋_GB2312" w:hAnsi="仿宋_GB2312" w:cs="仿宋_GB2312" w:hint="eastAsia"/>
          <w:sz w:val="32"/>
          <w:szCs w:val="32"/>
        </w:rPr>
        <w:t>的锅炉和气化供热项目的，污染物排放浓度要达到或优于天燃气锅炉对应的大气污染物排放标准（折算基准氧含量排放浓度时，生物质成型燃料锅炉按9%执行，生物质气化供热项目按3.5%执行。）</w:t>
      </w:r>
      <w:r>
        <w:rPr>
          <w:rFonts w:eastAsia="仿宋_GB2312"/>
          <w:sz w:val="32"/>
          <w:szCs w:val="32"/>
        </w:rPr>
        <w:t>。</w:t>
      </w:r>
    </w:p>
    <w:p w:rsidR="002D7EB4" w:rsidRDefault="002D7EB4" w:rsidP="002D7EB4">
      <w:pPr>
        <w:pStyle w:val="NewNewNewNewNewNew"/>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w:t>
      </w:r>
      <w:r>
        <w:rPr>
          <w:rFonts w:eastAsia="仿宋_GB2312"/>
          <w:sz w:val="32"/>
          <w:szCs w:val="32"/>
        </w:rPr>
        <w:t>“</w:t>
      </w:r>
      <w:r>
        <w:rPr>
          <w:rFonts w:eastAsia="仿宋_GB2312"/>
          <w:sz w:val="32"/>
          <w:szCs w:val="32"/>
        </w:rPr>
        <w:t>禁燃区</w:t>
      </w:r>
      <w:r>
        <w:rPr>
          <w:rFonts w:eastAsia="仿宋_GB2312"/>
          <w:sz w:val="32"/>
          <w:szCs w:val="32"/>
        </w:rPr>
        <w:t>”</w:t>
      </w:r>
      <w:r>
        <w:rPr>
          <w:rFonts w:eastAsia="仿宋_GB2312"/>
          <w:sz w:val="32"/>
          <w:szCs w:val="32"/>
        </w:rPr>
        <w:t>内使用高污染燃料的</w:t>
      </w:r>
      <w:r>
        <w:rPr>
          <w:rFonts w:eastAsia="仿宋_GB2312" w:hint="eastAsia"/>
          <w:sz w:val="32"/>
          <w:szCs w:val="32"/>
        </w:rPr>
        <w:t>，</w:t>
      </w:r>
      <w:r>
        <w:rPr>
          <w:rFonts w:eastAsia="仿宋_GB2312"/>
          <w:sz w:val="32"/>
          <w:szCs w:val="32"/>
        </w:rPr>
        <w:t>以及不能达到相应大气污染物排放标准的锅炉、窑炉或导热油炉等各类在用</w:t>
      </w:r>
      <w:r>
        <w:rPr>
          <w:rFonts w:eastAsia="仿宋_GB2312"/>
          <w:sz w:val="32"/>
          <w:szCs w:val="32"/>
        </w:rPr>
        <w:lastRenderedPageBreak/>
        <w:t>燃烧设施，应在</w:t>
      </w:r>
      <w:r>
        <w:rPr>
          <w:rFonts w:eastAsia="仿宋_GB2312" w:hint="eastAsia"/>
          <w:sz w:val="32"/>
          <w:szCs w:val="32"/>
        </w:rPr>
        <w:t>限期</w:t>
      </w:r>
      <w:r>
        <w:rPr>
          <w:rFonts w:eastAsia="仿宋_GB2312"/>
          <w:sz w:val="32"/>
          <w:szCs w:val="32"/>
        </w:rPr>
        <w:t>前改造使用清洁能源或予以拆除。</w:t>
      </w:r>
    </w:p>
    <w:p w:rsidR="00BB7DD7" w:rsidRDefault="00BB7DD7" w:rsidP="009E12D8">
      <w:pPr>
        <w:pStyle w:val="NewNewNewNewNewNew"/>
        <w:spacing w:line="560" w:lineRule="exact"/>
        <w:ind w:firstLineChars="200" w:firstLine="640"/>
        <w:rPr>
          <w:rFonts w:eastAsia="仿宋_GB2312"/>
          <w:sz w:val="32"/>
          <w:szCs w:val="32"/>
        </w:rPr>
      </w:pPr>
      <w:r>
        <w:rPr>
          <w:rFonts w:eastAsia="仿宋_GB2312"/>
          <w:sz w:val="32"/>
          <w:szCs w:val="32"/>
        </w:rPr>
        <w:t>（</w:t>
      </w:r>
      <w:r w:rsidR="002D7EB4">
        <w:rPr>
          <w:rFonts w:eastAsia="仿宋_GB2312" w:hint="eastAsia"/>
          <w:sz w:val="32"/>
          <w:szCs w:val="32"/>
        </w:rPr>
        <w:t>五</w:t>
      </w:r>
      <w:r>
        <w:rPr>
          <w:rFonts w:eastAsia="仿宋_GB2312"/>
          <w:sz w:val="32"/>
          <w:szCs w:val="32"/>
        </w:rPr>
        <w:t>）</w:t>
      </w:r>
      <w:r>
        <w:rPr>
          <w:rFonts w:eastAsia="仿宋_GB2312"/>
          <w:sz w:val="32"/>
          <w:szCs w:val="32"/>
        </w:rPr>
        <w:t>“</w:t>
      </w:r>
      <w:r>
        <w:rPr>
          <w:rFonts w:eastAsia="仿宋_GB2312"/>
          <w:sz w:val="32"/>
          <w:szCs w:val="32"/>
        </w:rPr>
        <w:t>禁燃区</w:t>
      </w:r>
      <w:r>
        <w:rPr>
          <w:rFonts w:eastAsia="仿宋_GB2312"/>
          <w:sz w:val="32"/>
          <w:szCs w:val="32"/>
        </w:rPr>
        <w:t>”</w:t>
      </w:r>
      <w:r>
        <w:rPr>
          <w:rFonts w:eastAsia="仿宋_GB2312"/>
          <w:sz w:val="32"/>
          <w:szCs w:val="32"/>
        </w:rPr>
        <w:t>内使用非高污染燃料的锅炉、窑炉或导热油炉等各类在用燃烧设施，可在达到相应大气污染物排放标准，并符合我</w:t>
      </w:r>
      <w:r>
        <w:rPr>
          <w:rFonts w:eastAsia="仿宋_GB2312" w:hint="eastAsia"/>
          <w:sz w:val="32"/>
          <w:szCs w:val="32"/>
        </w:rPr>
        <w:t>县</w:t>
      </w:r>
      <w:r>
        <w:rPr>
          <w:rFonts w:eastAsia="仿宋_GB2312"/>
          <w:sz w:val="32"/>
          <w:szCs w:val="32"/>
        </w:rPr>
        <w:t>大气污染防治、锅炉污染整治工作要求的前提下继续使用。</w:t>
      </w:r>
    </w:p>
    <w:p w:rsidR="00BB7DD7" w:rsidRDefault="003E0B2E" w:rsidP="009E12D8">
      <w:pPr>
        <w:pStyle w:val="NewNewNewNewNewNew"/>
        <w:spacing w:line="560" w:lineRule="exact"/>
        <w:ind w:firstLineChars="200" w:firstLine="640"/>
        <w:rPr>
          <w:rFonts w:ascii="黑体" w:eastAsia="黑体" w:hAnsi="黑体"/>
          <w:bCs/>
          <w:sz w:val="32"/>
          <w:szCs w:val="32"/>
        </w:rPr>
      </w:pPr>
      <w:r>
        <w:rPr>
          <w:rFonts w:ascii="黑体" w:eastAsia="黑体" w:hAnsi="黑体" w:hint="eastAsia"/>
          <w:bCs/>
          <w:sz w:val="32"/>
          <w:szCs w:val="32"/>
        </w:rPr>
        <w:t>三</w:t>
      </w:r>
      <w:r w:rsidR="00BB7DD7">
        <w:rPr>
          <w:rFonts w:ascii="黑体" w:eastAsia="黑体" w:hAnsi="黑体" w:hint="eastAsia"/>
          <w:bCs/>
          <w:sz w:val="32"/>
          <w:szCs w:val="32"/>
        </w:rPr>
        <w:t>、本通告所称的高污染燃料</w:t>
      </w:r>
    </w:p>
    <w:p w:rsidR="00C8009A" w:rsidRDefault="00C8009A" w:rsidP="00C8009A">
      <w:pPr>
        <w:pStyle w:val="NewNewNewNewNewNew"/>
        <w:spacing w:line="560" w:lineRule="exact"/>
        <w:ind w:firstLineChars="200" w:firstLine="640"/>
        <w:rPr>
          <w:rFonts w:ascii="仿宋_GB2312" w:eastAsia="仿宋_GB2312" w:hAnsi="仿宋_GB2312" w:cs="仿宋_GB2312"/>
          <w:sz w:val="32"/>
          <w:szCs w:val="32"/>
        </w:rPr>
      </w:pPr>
      <w:r>
        <w:rPr>
          <w:rFonts w:eastAsia="仿宋_GB2312"/>
          <w:sz w:val="32"/>
          <w:szCs w:val="32"/>
        </w:rPr>
        <w:t>根据</w:t>
      </w:r>
      <w:r>
        <w:rPr>
          <w:rFonts w:eastAsia="仿宋_GB2312" w:hint="eastAsia"/>
          <w:sz w:val="32"/>
          <w:szCs w:val="32"/>
        </w:rPr>
        <w:t>环保部</w:t>
      </w:r>
      <w:r w:rsidRPr="00984289">
        <w:rPr>
          <w:rFonts w:eastAsia="仿宋_GB2312" w:hint="eastAsia"/>
          <w:color w:val="000000" w:themeColor="text1"/>
          <w:sz w:val="32"/>
          <w:szCs w:val="32"/>
        </w:rPr>
        <w:t>《</w:t>
      </w:r>
      <w:r w:rsidRPr="00984289">
        <w:rPr>
          <w:rStyle w:val="title"/>
          <w:rFonts w:ascii="仿宋_GB2312" w:eastAsia="仿宋_GB2312" w:hint="eastAsia"/>
          <w:bCs/>
          <w:color w:val="000000" w:themeColor="text1"/>
          <w:sz w:val="32"/>
          <w:szCs w:val="32"/>
        </w:rPr>
        <w:t>关于发布〈高污染燃料目录〉的通知</w:t>
      </w:r>
      <w:r w:rsidRPr="00984289">
        <w:rPr>
          <w:rFonts w:eastAsia="仿宋_GB2312" w:hint="eastAsia"/>
          <w:color w:val="000000" w:themeColor="text1"/>
          <w:sz w:val="32"/>
          <w:szCs w:val="32"/>
        </w:rPr>
        <w:t>》</w:t>
      </w:r>
      <w:r>
        <w:rPr>
          <w:rFonts w:eastAsia="仿宋_GB2312" w:hint="eastAsia"/>
          <w:color w:val="000000" w:themeColor="text1"/>
          <w:sz w:val="32"/>
          <w:szCs w:val="32"/>
        </w:rPr>
        <w:t>（</w:t>
      </w:r>
      <w:r w:rsidRPr="00984289">
        <w:rPr>
          <w:rFonts w:ascii="仿宋_GB2312" w:eastAsia="仿宋_GB2312" w:hint="eastAsia"/>
          <w:color w:val="000000"/>
          <w:sz w:val="32"/>
          <w:szCs w:val="32"/>
        </w:rPr>
        <w:t>国环规大气</w:t>
      </w:r>
      <w:r>
        <w:rPr>
          <w:rFonts w:ascii="仿宋_GB2312" w:eastAsia="仿宋_GB2312" w:hint="eastAsia"/>
          <w:color w:val="000000"/>
          <w:sz w:val="32"/>
          <w:szCs w:val="32"/>
        </w:rPr>
        <w:t>〔</w:t>
      </w:r>
      <w:r w:rsidRPr="00984289">
        <w:rPr>
          <w:rFonts w:ascii="仿宋_GB2312" w:eastAsia="仿宋_GB2312" w:hint="eastAsia"/>
          <w:color w:val="000000"/>
          <w:sz w:val="32"/>
          <w:szCs w:val="32"/>
        </w:rPr>
        <w:t>2017</w:t>
      </w:r>
      <w:r>
        <w:rPr>
          <w:rFonts w:ascii="仿宋_GB2312" w:eastAsia="仿宋_GB2312" w:hint="eastAsia"/>
          <w:color w:val="000000"/>
          <w:sz w:val="32"/>
          <w:szCs w:val="32"/>
        </w:rPr>
        <w:t>〕</w:t>
      </w:r>
      <w:r w:rsidRPr="00984289">
        <w:rPr>
          <w:rFonts w:ascii="仿宋_GB2312" w:eastAsia="仿宋_GB2312" w:hint="eastAsia"/>
          <w:color w:val="000000"/>
          <w:sz w:val="32"/>
          <w:szCs w:val="32"/>
        </w:rPr>
        <w:t>2号</w:t>
      </w:r>
      <w:r>
        <w:rPr>
          <w:rFonts w:eastAsia="仿宋_GB2312" w:hint="eastAsia"/>
          <w:color w:val="000000" w:themeColor="text1"/>
          <w:sz w:val="32"/>
          <w:szCs w:val="32"/>
        </w:rPr>
        <w:t>）的有关要求</w:t>
      </w:r>
      <w:r>
        <w:rPr>
          <w:rFonts w:eastAsia="仿宋_GB2312"/>
          <w:sz w:val="32"/>
          <w:szCs w:val="32"/>
        </w:rPr>
        <w:t>，结合我</w:t>
      </w:r>
      <w:r>
        <w:rPr>
          <w:rFonts w:eastAsia="仿宋_GB2312" w:hint="eastAsia"/>
          <w:sz w:val="32"/>
          <w:szCs w:val="32"/>
        </w:rPr>
        <w:t>县</w:t>
      </w:r>
      <w:r>
        <w:rPr>
          <w:rFonts w:ascii="仿宋_GB2312" w:eastAsia="仿宋_GB2312" w:hAnsi="仿宋_GB2312" w:cs="仿宋_GB2312" w:hint="eastAsia"/>
          <w:sz w:val="32"/>
          <w:szCs w:val="32"/>
        </w:rPr>
        <w:t>能源消费结构、经济承受能力，在禁燃区内管理中因地制宜选择了高污染燃料目录燃料中I类（一般）。禁止燃用的燃料类别具体如下：</w:t>
      </w:r>
    </w:p>
    <w:p w:rsidR="00C8009A" w:rsidRDefault="00C8009A" w:rsidP="00C8009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台出力小于20蒸吨/小时的锅炉和民用燃煤设备燃用的含硫量大于0.5%、灰分大于10%的煤炭及其制品。其中，型煤、焦炭、兰炭的含硫量大于0.5%；焦炭、兰炭灰分大于10%；型煤挥发分大于12%、焦炭挥发分大于5%、兰炭挥发分大于10%。</w:t>
      </w:r>
    </w:p>
    <w:p w:rsidR="00C8009A" w:rsidRDefault="00C8009A" w:rsidP="00C8009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（二）石油焦、油页岩、原油、重油、渣油、煤焦油。</w:t>
      </w:r>
    </w:p>
    <w:p w:rsidR="00FB4239" w:rsidRPr="00A95088" w:rsidRDefault="00FB4239" w:rsidP="00C8009A">
      <w:pPr>
        <w:spacing w:line="600" w:lineRule="exact"/>
        <w:ind w:firstLineChars="200" w:firstLine="640"/>
        <w:rPr>
          <w:rFonts w:ascii="黑体" w:eastAsia="黑体" w:hAnsi="黑体" w:cs="仿宋_GB2312"/>
          <w:sz w:val="32"/>
          <w:szCs w:val="32"/>
        </w:rPr>
      </w:pPr>
      <w:r>
        <w:rPr>
          <w:rFonts w:ascii="黑体" w:eastAsia="黑体" w:hAnsi="黑体" w:hint="eastAsia"/>
          <w:bCs/>
          <w:sz w:val="32"/>
          <w:szCs w:val="32"/>
        </w:rPr>
        <w:t>四、本通告所称的</w:t>
      </w:r>
      <w:r w:rsidRPr="00A95088">
        <w:rPr>
          <w:rFonts w:ascii="黑体" w:eastAsia="黑体" w:hAnsi="黑体" w:cs="仿宋_GB2312" w:hint="eastAsia"/>
          <w:sz w:val="32"/>
          <w:szCs w:val="32"/>
        </w:rPr>
        <w:t>煤炭及其制品</w:t>
      </w:r>
    </w:p>
    <w:p w:rsidR="00C8009A" w:rsidRDefault="00C8009A" w:rsidP="00C8009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本通告规定的是生产经营使用的煤炭及其制品（包括原煤、散煤、煤矸石、煤泥、煤粉、水煤浆、型煤、焦炭、兰炭等）、油类等常规燃料。</w:t>
      </w:r>
    </w:p>
    <w:p w:rsidR="00BB7DD7" w:rsidRDefault="00A95088" w:rsidP="009E12D8">
      <w:pPr>
        <w:pStyle w:val="NewNewNewNewNewNew"/>
        <w:spacing w:line="560" w:lineRule="exact"/>
        <w:ind w:firstLineChars="200" w:firstLine="640"/>
        <w:rPr>
          <w:rFonts w:ascii="黑体" w:eastAsia="黑体" w:hAnsi="黑体"/>
          <w:bCs/>
          <w:sz w:val="32"/>
          <w:szCs w:val="32"/>
        </w:rPr>
      </w:pPr>
      <w:r>
        <w:rPr>
          <w:rFonts w:ascii="黑体" w:eastAsia="黑体" w:hAnsi="黑体" w:hint="eastAsia"/>
          <w:bCs/>
          <w:sz w:val="32"/>
          <w:szCs w:val="32"/>
        </w:rPr>
        <w:t>五</w:t>
      </w:r>
      <w:r w:rsidR="00BB7DD7">
        <w:rPr>
          <w:rFonts w:ascii="黑体" w:eastAsia="黑体" w:hAnsi="黑体" w:hint="eastAsia"/>
          <w:bCs/>
          <w:sz w:val="32"/>
          <w:szCs w:val="32"/>
        </w:rPr>
        <w:t>、本通告所称的清洁能源</w:t>
      </w:r>
    </w:p>
    <w:p w:rsidR="00BB7DD7" w:rsidRPr="00974D14" w:rsidRDefault="00BB7DD7" w:rsidP="009E12D8">
      <w:pPr>
        <w:pStyle w:val="NewNewNewNewNewNew"/>
        <w:spacing w:line="560" w:lineRule="exact"/>
        <w:ind w:firstLineChars="200" w:firstLine="640"/>
        <w:rPr>
          <w:rFonts w:ascii="仿宋_GB2312" w:eastAsia="仿宋_GB2312"/>
          <w:sz w:val="32"/>
          <w:szCs w:val="32"/>
        </w:rPr>
      </w:pPr>
      <w:r w:rsidRPr="00974D14">
        <w:rPr>
          <w:rFonts w:ascii="仿宋_GB2312" w:eastAsia="仿宋_GB2312" w:hint="eastAsia"/>
          <w:sz w:val="32"/>
          <w:szCs w:val="32"/>
        </w:rPr>
        <w:t>（一）电、天然气、液化石油气。</w:t>
      </w:r>
    </w:p>
    <w:p w:rsidR="00BB7DD7" w:rsidRPr="00974D14" w:rsidRDefault="00BB7DD7" w:rsidP="009E12D8">
      <w:pPr>
        <w:pStyle w:val="NewNewNewNewNewNew"/>
        <w:spacing w:line="560" w:lineRule="exact"/>
        <w:ind w:firstLineChars="200" w:firstLine="640"/>
        <w:rPr>
          <w:rFonts w:ascii="仿宋_GB2312" w:eastAsia="仿宋_GB2312"/>
          <w:sz w:val="32"/>
          <w:szCs w:val="32"/>
        </w:rPr>
      </w:pPr>
      <w:r w:rsidRPr="00974D14">
        <w:rPr>
          <w:rFonts w:ascii="仿宋_GB2312" w:eastAsia="仿宋_GB2312" w:hint="eastAsia"/>
          <w:sz w:val="32"/>
          <w:szCs w:val="32"/>
        </w:rPr>
        <w:t>（二）液态燃料：灰份不大于0.01%，硫含量不大于0.2%，</w:t>
      </w:r>
      <w:r w:rsidRPr="00974D14">
        <w:rPr>
          <w:rFonts w:ascii="仿宋_GB2312" w:eastAsia="仿宋_GB2312" w:hint="eastAsia"/>
          <w:sz w:val="32"/>
          <w:szCs w:val="32"/>
        </w:rPr>
        <w:lastRenderedPageBreak/>
        <w:t>运动粘度不大于20平方毫米/秒（50℃），残炭不大于5%</w:t>
      </w:r>
      <w:r w:rsidR="00655257">
        <w:rPr>
          <w:rFonts w:ascii="仿宋_GB2312" w:eastAsia="仿宋_GB2312" w:hint="eastAsia"/>
          <w:sz w:val="32"/>
          <w:szCs w:val="32"/>
        </w:rPr>
        <w:t>；</w:t>
      </w:r>
      <w:r w:rsidRPr="00974D14">
        <w:rPr>
          <w:rFonts w:ascii="仿宋_GB2312" w:eastAsia="仿宋_GB2312" w:hint="eastAsia"/>
          <w:sz w:val="32"/>
          <w:szCs w:val="32"/>
        </w:rPr>
        <w:t>能在锅炉上正常燃烧，并在未经任何治理情况下，其燃烧烟气污染物浓度低于《锅炉大气污染物排放标准》（GB 13271-2014）与《广东省锅炉大气污染物排放标准》（DB 44/765-2010）规定的燃油锅炉中最严排放限值。</w:t>
      </w:r>
    </w:p>
    <w:p w:rsidR="00BB7DD7" w:rsidRPr="00974D14" w:rsidRDefault="00BB7DD7" w:rsidP="009E12D8">
      <w:pPr>
        <w:pStyle w:val="NewNewNewNewNewNew"/>
        <w:spacing w:line="560" w:lineRule="exact"/>
        <w:ind w:firstLineChars="200" w:firstLine="640"/>
        <w:rPr>
          <w:rFonts w:ascii="仿宋_GB2312" w:eastAsia="仿宋_GB2312"/>
          <w:sz w:val="32"/>
          <w:szCs w:val="32"/>
        </w:rPr>
      </w:pPr>
      <w:r w:rsidRPr="00974D14">
        <w:rPr>
          <w:rFonts w:ascii="仿宋_GB2312" w:eastAsia="仿宋_GB2312" w:hint="eastAsia"/>
          <w:sz w:val="32"/>
          <w:szCs w:val="32"/>
        </w:rPr>
        <w:t>（三）气态燃料：能在锅炉上正常燃烧，并在未经任何治理情况下，其燃烧烟气污染物浓度低于《锅炉大气污染物排放标准》（GB 13271-2014）与《广东省锅炉大气污染物排放标准》（DB 44/765-2010）规定的燃气锅炉中最严排放限值。</w:t>
      </w:r>
    </w:p>
    <w:p w:rsidR="00BB7DD7" w:rsidRDefault="00A95088" w:rsidP="009E12D8">
      <w:pPr>
        <w:pStyle w:val="NewNewNewNewNewNew"/>
        <w:spacing w:line="560" w:lineRule="exact"/>
        <w:ind w:firstLineChars="200" w:firstLine="640"/>
        <w:rPr>
          <w:rFonts w:ascii="黑体" w:eastAsia="黑体" w:hAnsi="黑体"/>
          <w:bCs/>
          <w:sz w:val="32"/>
          <w:szCs w:val="32"/>
        </w:rPr>
      </w:pPr>
      <w:r>
        <w:rPr>
          <w:rFonts w:ascii="黑体" w:eastAsia="黑体" w:hAnsi="黑体" w:hint="eastAsia"/>
          <w:bCs/>
          <w:sz w:val="32"/>
          <w:szCs w:val="32"/>
        </w:rPr>
        <w:t>六</w:t>
      </w:r>
      <w:r w:rsidR="00BB7DD7">
        <w:rPr>
          <w:rFonts w:ascii="黑体" w:eastAsia="黑体" w:hAnsi="黑体" w:hint="eastAsia"/>
          <w:bCs/>
          <w:sz w:val="32"/>
          <w:szCs w:val="32"/>
        </w:rPr>
        <w:t>、本通告不适用于车用燃料。</w:t>
      </w:r>
    </w:p>
    <w:p w:rsidR="00BB7DD7" w:rsidRDefault="00A95088" w:rsidP="009E12D8">
      <w:pPr>
        <w:pStyle w:val="NewNewNewNewNewNew"/>
        <w:spacing w:line="560" w:lineRule="exact"/>
        <w:ind w:firstLineChars="200" w:firstLine="640"/>
        <w:rPr>
          <w:rFonts w:ascii="黑体" w:eastAsia="黑体" w:hAnsi="黑体"/>
          <w:bCs/>
          <w:sz w:val="32"/>
          <w:szCs w:val="32"/>
        </w:rPr>
      </w:pPr>
      <w:r>
        <w:rPr>
          <w:rFonts w:ascii="黑体" w:eastAsia="黑体" w:hAnsi="黑体" w:hint="eastAsia"/>
          <w:bCs/>
          <w:sz w:val="32"/>
          <w:szCs w:val="32"/>
        </w:rPr>
        <w:t>七</w:t>
      </w:r>
      <w:r w:rsidR="00BB7DD7">
        <w:rPr>
          <w:rFonts w:ascii="黑体" w:eastAsia="黑体" w:hAnsi="黑体" w:hint="eastAsia"/>
          <w:bCs/>
          <w:sz w:val="32"/>
          <w:szCs w:val="32"/>
        </w:rPr>
        <w:t>、本通告实施环境监管网格化管理</w:t>
      </w:r>
    </w:p>
    <w:p w:rsidR="00BB7DD7" w:rsidRDefault="00BB7DD7" w:rsidP="009E12D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相关职能部门</w:t>
      </w:r>
      <w:r w:rsidR="00FF7E91">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加强对禁燃区建设的管理，将禁燃区监管纳入环境监管网格</w:t>
      </w:r>
      <w:r w:rsidR="00FF7E91">
        <w:rPr>
          <w:rFonts w:ascii="仿宋_GB2312" w:eastAsia="仿宋_GB2312" w:hAnsi="仿宋_GB2312" w:cs="仿宋_GB2312" w:hint="eastAsia"/>
          <w:sz w:val="32"/>
          <w:szCs w:val="32"/>
        </w:rPr>
        <w:t>化管理</w:t>
      </w:r>
      <w:r>
        <w:rPr>
          <w:rFonts w:ascii="仿宋_GB2312" w:eastAsia="仿宋_GB2312" w:hAnsi="仿宋_GB2312" w:cs="仿宋_GB2312" w:hint="eastAsia"/>
          <w:sz w:val="32"/>
          <w:szCs w:val="32"/>
        </w:rPr>
        <w:t>，组织镇（街道）、社区（村）加大检查力度，严肃查处违反禁燃区管理要求的行为，确保高污染燃料禁燃区建设工作</w:t>
      </w:r>
      <w:r w:rsidR="00FF7E91">
        <w:rPr>
          <w:rFonts w:ascii="仿宋_GB2312" w:eastAsia="仿宋_GB2312" w:hAnsi="仿宋_GB2312" w:cs="仿宋_GB2312" w:hint="eastAsia"/>
          <w:sz w:val="32"/>
          <w:szCs w:val="32"/>
        </w:rPr>
        <w:t>顺利</w:t>
      </w:r>
      <w:r>
        <w:rPr>
          <w:rFonts w:ascii="仿宋_GB2312" w:eastAsia="仿宋_GB2312" w:hAnsi="仿宋_GB2312" w:cs="仿宋_GB2312" w:hint="eastAsia"/>
          <w:sz w:val="32"/>
          <w:szCs w:val="32"/>
        </w:rPr>
        <w:t>完成。发改、经信、质监、财政、环</w:t>
      </w:r>
      <w:r w:rsidR="0093701D">
        <w:rPr>
          <w:rFonts w:ascii="仿宋_GB2312" w:eastAsia="仿宋_GB2312" w:hAnsi="仿宋_GB2312" w:cs="仿宋_GB2312" w:hint="eastAsia"/>
          <w:sz w:val="32"/>
          <w:szCs w:val="32"/>
        </w:rPr>
        <w:t>保</w:t>
      </w:r>
      <w:r>
        <w:rPr>
          <w:rFonts w:ascii="仿宋_GB2312" w:eastAsia="仿宋_GB2312" w:hAnsi="仿宋_GB2312" w:cs="仿宋_GB2312" w:hint="eastAsia"/>
          <w:sz w:val="32"/>
          <w:szCs w:val="32"/>
        </w:rPr>
        <w:t>、住建、工商等部门要密切配合，积极履行职责，采取有效措施，支持、引导禁燃区内的单位和个人推广使用清洁能源。</w:t>
      </w:r>
    </w:p>
    <w:p w:rsidR="00BB7DD7" w:rsidRDefault="00A95088" w:rsidP="009E12D8">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八</w:t>
      </w:r>
      <w:r w:rsidR="00BB7DD7">
        <w:rPr>
          <w:rFonts w:ascii="黑体" w:eastAsia="黑体" w:hAnsi="黑体" w:hint="eastAsia"/>
          <w:bCs/>
          <w:sz w:val="32"/>
          <w:szCs w:val="32"/>
        </w:rPr>
        <w:t>、违反本通告的相关法律责任</w:t>
      </w:r>
    </w:p>
    <w:p w:rsidR="00CE66D2" w:rsidRPr="00CE66D2" w:rsidRDefault="001114EE" w:rsidP="004F2017">
      <w:pPr>
        <w:spacing w:line="560" w:lineRule="exact"/>
        <w:ind w:firstLineChars="200" w:firstLine="640"/>
        <w:rPr>
          <w:rFonts w:ascii="仿宋_GB2312" w:eastAsia="仿宋_GB2312" w:hAnsi="Microsoft Yahei" w:cs="宋体" w:hint="eastAsia"/>
          <w:kern w:val="0"/>
          <w:sz w:val="32"/>
          <w:szCs w:val="32"/>
        </w:rPr>
      </w:pPr>
      <w:r w:rsidRPr="00152CFF">
        <w:rPr>
          <w:rFonts w:ascii="仿宋_GB2312" w:eastAsia="仿宋_GB2312" w:hAnsi="仿宋_GB2312" w:cs="仿宋_GB2312" w:hint="eastAsia"/>
          <w:sz w:val="32"/>
          <w:szCs w:val="32"/>
        </w:rPr>
        <w:t>违反本通告规定</w:t>
      </w:r>
      <w:r>
        <w:rPr>
          <w:rFonts w:ascii="仿宋_GB2312" w:eastAsia="仿宋_GB2312" w:hAnsi="仿宋_GB2312" w:cs="仿宋_GB2312" w:hint="eastAsia"/>
          <w:sz w:val="32"/>
          <w:szCs w:val="32"/>
        </w:rPr>
        <w:t>，</w:t>
      </w:r>
      <w:r w:rsidR="009C083E" w:rsidRPr="009C083E">
        <w:rPr>
          <w:rFonts w:ascii="仿宋_GB2312" w:eastAsia="仿宋_GB2312" w:hAnsi="Microsoft Yahei" w:cs="宋体" w:hint="eastAsia"/>
          <w:kern w:val="0"/>
          <w:sz w:val="32"/>
          <w:szCs w:val="32"/>
        </w:rPr>
        <w:t>由县级以上地方人民政府</w:t>
      </w:r>
      <w:r w:rsidR="004F2017">
        <w:rPr>
          <w:rFonts w:ascii="仿宋_GB2312" w:eastAsia="仿宋_GB2312" w:hAnsi="Microsoft Yahei" w:cs="宋体" w:hint="eastAsia"/>
          <w:kern w:val="0"/>
          <w:sz w:val="32"/>
          <w:szCs w:val="32"/>
        </w:rPr>
        <w:t>相关主管</w:t>
      </w:r>
      <w:r w:rsidR="009C083E" w:rsidRPr="009C083E">
        <w:rPr>
          <w:rFonts w:ascii="仿宋_GB2312" w:eastAsia="仿宋_GB2312" w:hAnsi="Microsoft Yahei" w:cs="宋体" w:hint="eastAsia"/>
          <w:kern w:val="0"/>
          <w:sz w:val="32"/>
          <w:szCs w:val="32"/>
        </w:rPr>
        <w:t>部门</w:t>
      </w:r>
      <w:r w:rsidR="009C083E" w:rsidRPr="009C083E">
        <w:rPr>
          <w:rFonts w:ascii="仿宋_GB2312" w:eastAsia="仿宋_GB2312" w:hAnsi="仿宋_GB2312" w:cs="仿宋_GB2312" w:hint="eastAsia"/>
          <w:sz w:val="32"/>
          <w:szCs w:val="32"/>
        </w:rPr>
        <w:t>依据《中华人民共和国大气污染防治法》</w:t>
      </w:r>
      <w:r w:rsidR="004F2017">
        <w:rPr>
          <w:rFonts w:ascii="仿宋_GB2312" w:eastAsia="仿宋_GB2312" w:hAnsi="Microsoft Yahei" w:cs="宋体" w:hint="eastAsia"/>
          <w:bCs/>
          <w:sz w:val="32"/>
          <w:szCs w:val="32"/>
        </w:rPr>
        <w:t>的有关</w:t>
      </w:r>
      <w:r w:rsidR="009C083E" w:rsidRPr="009C083E">
        <w:rPr>
          <w:rFonts w:ascii="仿宋_GB2312" w:eastAsia="仿宋_GB2312" w:hAnsi="Microsoft Yahei" w:cs="宋体" w:hint="eastAsia"/>
          <w:bCs/>
          <w:sz w:val="32"/>
          <w:szCs w:val="32"/>
        </w:rPr>
        <w:t>规定</w:t>
      </w:r>
      <w:r w:rsidR="004F2017">
        <w:rPr>
          <w:rFonts w:ascii="仿宋_GB2312" w:eastAsia="仿宋_GB2312" w:hAnsi="Microsoft Yahei" w:cs="宋体" w:hint="eastAsia"/>
          <w:bCs/>
          <w:sz w:val="32"/>
          <w:szCs w:val="32"/>
        </w:rPr>
        <w:t>予以处罚</w:t>
      </w:r>
      <w:r w:rsidR="00CE66D2" w:rsidRPr="00CE66D2">
        <w:rPr>
          <w:rFonts w:ascii="仿宋_GB2312" w:eastAsia="仿宋_GB2312" w:hAnsi="Microsoft Yahei" w:cs="宋体" w:hint="eastAsia"/>
          <w:kern w:val="0"/>
          <w:sz w:val="32"/>
          <w:szCs w:val="32"/>
        </w:rPr>
        <w:t>。</w:t>
      </w:r>
    </w:p>
    <w:p w:rsidR="00BB7DD7" w:rsidRDefault="00A95088" w:rsidP="009E12D8">
      <w:pPr>
        <w:pStyle w:val="NewNewNewNewNewNew"/>
        <w:spacing w:line="560" w:lineRule="exact"/>
        <w:ind w:firstLineChars="200" w:firstLine="640"/>
        <w:rPr>
          <w:rFonts w:ascii="黑体" w:eastAsia="黑体" w:hAnsi="黑体" w:cs="仿宋_GB2312"/>
          <w:sz w:val="32"/>
          <w:szCs w:val="32"/>
        </w:rPr>
      </w:pPr>
      <w:r>
        <w:rPr>
          <w:rFonts w:ascii="黑体" w:eastAsia="黑体" w:hAnsi="黑体" w:cs="宋体" w:hint="eastAsia"/>
          <w:sz w:val="32"/>
          <w:szCs w:val="32"/>
        </w:rPr>
        <w:t>九</w:t>
      </w:r>
      <w:r w:rsidR="00BB7DD7" w:rsidRPr="008C1EDB">
        <w:rPr>
          <w:rFonts w:ascii="黑体" w:eastAsia="黑体" w:hAnsi="黑体" w:cs="宋体" w:hint="eastAsia"/>
          <w:sz w:val="32"/>
          <w:szCs w:val="32"/>
        </w:rPr>
        <w:t>、</w:t>
      </w:r>
      <w:r w:rsidR="00BB7DD7" w:rsidRPr="008C1EDB">
        <w:rPr>
          <w:rFonts w:ascii="黑体" w:eastAsia="黑体" w:hAnsi="黑体" w:cs="仿宋_GB2312" w:hint="eastAsia"/>
          <w:sz w:val="32"/>
          <w:szCs w:val="32"/>
        </w:rPr>
        <w:t>本通告仅适用于禁燃区的管理，不作为禁燃区外燃</w:t>
      </w:r>
      <w:r w:rsidR="00BB7DD7" w:rsidRPr="008C1EDB">
        <w:rPr>
          <w:rFonts w:ascii="黑体" w:eastAsia="黑体" w:hAnsi="黑体" w:cs="仿宋_GB2312" w:hint="eastAsia"/>
          <w:sz w:val="32"/>
          <w:szCs w:val="32"/>
        </w:rPr>
        <w:lastRenderedPageBreak/>
        <w:t>料的禁燃管理依据。</w:t>
      </w:r>
    </w:p>
    <w:p w:rsidR="00BB7DD7" w:rsidRPr="00430905" w:rsidRDefault="00A95088" w:rsidP="009E12D8">
      <w:pPr>
        <w:pStyle w:val="NewNewNewNewNewNew"/>
        <w:spacing w:line="560" w:lineRule="exact"/>
        <w:ind w:firstLineChars="200" w:firstLine="640"/>
        <w:rPr>
          <w:rFonts w:ascii="黑体" w:eastAsia="黑体" w:hAnsi="黑体"/>
          <w:sz w:val="32"/>
          <w:szCs w:val="32"/>
        </w:rPr>
      </w:pPr>
      <w:r>
        <w:rPr>
          <w:rFonts w:ascii="黑体" w:eastAsia="黑体" w:hAnsi="黑体" w:hint="eastAsia"/>
          <w:sz w:val="32"/>
          <w:szCs w:val="32"/>
        </w:rPr>
        <w:t>十</w:t>
      </w:r>
      <w:r w:rsidR="00960A5D" w:rsidRPr="00430905">
        <w:rPr>
          <w:rFonts w:ascii="黑体" w:eastAsia="黑体" w:hAnsi="黑体" w:hint="eastAsia"/>
          <w:sz w:val="32"/>
          <w:szCs w:val="32"/>
        </w:rPr>
        <w:t>、</w:t>
      </w:r>
      <w:r w:rsidR="00BB7DD7" w:rsidRPr="00430905">
        <w:rPr>
          <w:rFonts w:ascii="黑体" w:eastAsia="黑体" w:hAnsi="黑体" w:hint="eastAsia"/>
          <w:sz w:val="32"/>
          <w:szCs w:val="32"/>
        </w:rPr>
        <w:t>本通告所涉及的大气污染物排放标准如有新标准出台，或有重新修订，则按新出台或新修订的标准执行。</w:t>
      </w:r>
    </w:p>
    <w:p w:rsidR="00BB7DD7" w:rsidRDefault="00BB7DD7" w:rsidP="00E20C32">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十</w:t>
      </w:r>
      <w:r w:rsidR="00A95088">
        <w:rPr>
          <w:rFonts w:ascii="黑体" w:eastAsia="黑体" w:hAnsi="黑体" w:hint="eastAsia"/>
          <w:bCs/>
          <w:sz w:val="32"/>
          <w:szCs w:val="32"/>
        </w:rPr>
        <w:t>一</w:t>
      </w:r>
      <w:r>
        <w:rPr>
          <w:rFonts w:ascii="黑体" w:eastAsia="黑体" w:hAnsi="黑体" w:hint="eastAsia"/>
          <w:bCs/>
          <w:sz w:val="32"/>
          <w:szCs w:val="32"/>
        </w:rPr>
        <w:t>、</w:t>
      </w:r>
      <w:r w:rsidR="00E20C32">
        <w:rPr>
          <w:rFonts w:ascii="黑体" w:eastAsia="黑体" w:hAnsi="黑体" w:cs="黑体" w:hint="eastAsia"/>
          <w:bCs/>
          <w:sz w:val="32"/>
          <w:szCs w:val="32"/>
        </w:rPr>
        <w:t>本通告</w:t>
      </w:r>
      <w:r>
        <w:rPr>
          <w:rFonts w:ascii="黑体" w:eastAsia="黑体" w:hAnsi="黑体" w:hint="eastAsia"/>
          <w:bCs/>
          <w:sz w:val="32"/>
          <w:szCs w:val="32"/>
        </w:rPr>
        <w:t>由翁源县环境保护局负责解释。</w:t>
      </w:r>
    </w:p>
    <w:p w:rsidR="00730BB0" w:rsidRDefault="00730BB0" w:rsidP="00E20C32">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十</w:t>
      </w:r>
      <w:r w:rsidR="00A95088">
        <w:rPr>
          <w:rFonts w:ascii="黑体" w:eastAsia="黑体" w:hAnsi="黑体" w:hint="eastAsia"/>
          <w:bCs/>
          <w:sz w:val="32"/>
          <w:szCs w:val="32"/>
        </w:rPr>
        <w:t>二</w:t>
      </w:r>
      <w:r>
        <w:rPr>
          <w:rFonts w:ascii="黑体" w:eastAsia="黑体" w:hAnsi="黑体" w:hint="eastAsia"/>
          <w:bCs/>
          <w:sz w:val="32"/>
          <w:szCs w:val="32"/>
        </w:rPr>
        <w:t>、本通告自颁布之日起实施。</w:t>
      </w:r>
    </w:p>
    <w:p w:rsidR="00E1193C" w:rsidRDefault="00E1193C" w:rsidP="00960A5D">
      <w:pPr>
        <w:pStyle w:val="NewNewNewNewNewNew"/>
        <w:spacing w:line="560" w:lineRule="exact"/>
        <w:ind w:firstLineChars="200" w:firstLine="640"/>
        <w:rPr>
          <w:rFonts w:eastAsia="仿宋_GB2312"/>
          <w:sz w:val="32"/>
          <w:szCs w:val="32"/>
        </w:rPr>
      </w:pPr>
    </w:p>
    <w:p w:rsidR="00E1193C" w:rsidRDefault="00E1193C" w:rsidP="00960A5D">
      <w:pPr>
        <w:pStyle w:val="NewNewNewNewNewNew"/>
        <w:spacing w:line="560" w:lineRule="exact"/>
        <w:ind w:firstLineChars="200" w:firstLine="640"/>
        <w:rPr>
          <w:rFonts w:eastAsia="仿宋_GB2312"/>
          <w:sz w:val="32"/>
          <w:szCs w:val="32"/>
        </w:rPr>
      </w:pPr>
    </w:p>
    <w:p w:rsidR="00BB7DD7" w:rsidRDefault="00BB7DD7" w:rsidP="00960A5D">
      <w:pPr>
        <w:pStyle w:val="NewNewNewNewNewNew"/>
        <w:spacing w:line="560" w:lineRule="exact"/>
        <w:ind w:firstLineChars="200" w:firstLine="640"/>
        <w:rPr>
          <w:rFonts w:eastAsia="仿宋_GB2312"/>
          <w:sz w:val="32"/>
          <w:szCs w:val="32"/>
        </w:rPr>
      </w:pPr>
      <w:r>
        <w:rPr>
          <w:rFonts w:eastAsia="仿宋_GB2312"/>
          <w:sz w:val="32"/>
          <w:szCs w:val="32"/>
        </w:rPr>
        <w:t>附件：</w:t>
      </w:r>
      <w:r>
        <w:rPr>
          <w:rFonts w:eastAsia="仿宋_GB2312" w:hint="eastAsia"/>
          <w:sz w:val="32"/>
          <w:szCs w:val="32"/>
        </w:rPr>
        <w:t>翁源县城高污染燃料禁燃区边界</w:t>
      </w:r>
      <w:r>
        <w:rPr>
          <w:rFonts w:eastAsia="仿宋_GB2312"/>
          <w:sz w:val="32"/>
          <w:szCs w:val="32"/>
        </w:rPr>
        <w:t>图</w:t>
      </w:r>
    </w:p>
    <w:p w:rsidR="00DB670B" w:rsidRDefault="00DB670B" w:rsidP="00960A5D">
      <w:pPr>
        <w:spacing w:line="560" w:lineRule="exact"/>
      </w:pPr>
    </w:p>
    <w:sectPr w:rsidR="00DB670B" w:rsidSect="00A05588">
      <w:pgSz w:w="11906" w:h="16838" w:code="9"/>
      <w:pgMar w:top="1440" w:right="1797" w:bottom="1440" w:left="1797" w:header="709" w:footer="709"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6FE" w:rsidRDefault="004536FE" w:rsidP="001564A2">
      <w:r>
        <w:separator/>
      </w:r>
    </w:p>
  </w:endnote>
  <w:endnote w:type="continuationSeparator" w:id="0">
    <w:p w:rsidR="004536FE" w:rsidRDefault="004536FE" w:rsidP="001564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6FE" w:rsidRDefault="004536FE" w:rsidP="001564A2">
      <w:r>
        <w:separator/>
      </w:r>
    </w:p>
  </w:footnote>
  <w:footnote w:type="continuationSeparator" w:id="0">
    <w:p w:rsidR="004536FE" w:rsidRDefault="004536FE" w:rsidP="001564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isplayHorizontalDrawingGridEvery w:val="2"/>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DD7"/>
    <w:rsid w:val="000156BB"/>
    <w:rsid w:val="0003729D"/>
    <w:rsid w:val="00056E8D"/>
    <w:rsid w:val="0006649C"/>
    <w:rsid w:val="00082CB7"/>
    <w:rsid w:val="000F19F6"/>
    <w:rsid w:val="001114EE"/>
    <w:rsid w:val="001564A2"/>
    <w:rsid w:val="00164BB9"/>
    <w:rsid w:val="00192529"/>
    <w:rsid w:val="001A4EFC"/>
    <w:rsid w:val="001B5E5C"/>
    <w:rsid w:val="0025360F"/>
    <w:rsid w:val="002D7EB4"/>
    <w:rsid w:val="00333E24"/>
    <w:rsid w:val="00342240"/>
    <w:rsid w:val="00396BEF"/>
    <w:rsid w:val="003E0B2E"/>
    <w:rsid w:val="00430905"/>
    <w:rsid w:val="004536FE"/>
    <w:rsid w:val="0048003B"/>
    <w:rsid w:val="004E46B2"/>
    <w:rsid w:val="004F2017"/>
    <w:rsid w:val="00574CB9"/>
    <w:rsid w:val="005E4FA6"/>
    <w:rsid w:val="005E523B"/>
    <w:rsid w:val="00655257"/>
    <w:rsid w:val="006772F1"/>
    <w:rsid w:val="00686CED"/>
    <w:rsid w:val="006C3A22"/>
    <w:rsid w:val="006E7984"/>
    <w:rsid w:val="00730BB0"/>
    <w:rsid w:val="00766442"/>
    <w:rsid w:val="00787550"/>
    <w:rsid w:val="007D0C2C"/>
    <w:rsid w:val="00842D0F"/>
    <w:rsid w:val="00875C3B"/>
    <w:rsid w:val="0093701D"/>
    <w:rsid w:val="00960A5D"/>
    <w:rsid w:val="009C083E"/>
    <w:rsid w:val="009E12D8"/>
    <w:rsid w:val="00A05588"/>
    <w:rsid w:val="00A7618B"/>
    <w:rsid w:val="00A95088"/>
    <w:rsid w:val="00AB62A3"/>
    <w:rsid w:val="00AC7FAE"/>
    <w:rsid w:val="00B05A20"/>
    <w:rsid w:val="00B07CDE"/>
    <w:rsid w:val="00B3219E"/>
    <w:rsid w:val="00B4685C"/>
    <w:rsid w:val="00BA5CDB"/>
    <w:rsid w:val="00BB7DD7"/>
    <w:rsid w:val="00C61AD3"/>
    <w:rsid w:val="00C8009A"/>
    <w:rsid w:val="00CA51F4"/>
    <w:rsid w:val="00CE66D2"/>
    <w:rsid w:val="00CF06AC"/>
    <w:rsid w:val="00D14C22"/>
    <w:rsid w:val="00DA2316"/>
    <w:rsid w:val="00DB37DB"/>
    <w:rsid w:val="00DB670B"/>
    <w:rsid w:val="00DC592F"/>
    <w:rsid w:val="00E1193C"/>
    <w:rsid w:val="00E20C32"/>
    <w:rsid w:val="00EB5C4C"/>
    <w:rsid w:val="00ED604D"/>
    <w:rsid w:val="00F75FB9"/>
    <w:rsid w:val="00FB4239"/>
    <w:rsid w:val="00FF7E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NewNew">
    <w:name w:val="正文 New New New New New New"/>
    <w:qFormat/>
    <w:rsid w:val="00BB7DD7"/>
    <w:pPr>
      <w:widowControl w:val="0"/>
      <w:jc w:val="both"/>
    </w:pPr>
    <w:rPr>
      <w:rFonts w:ascii="Times New Roman" w:eastAsia="宋体" w:hAnsi="Times New Roman"/>
    </w:rPr>
  </w:style>
  <w:style w:type="character" w:customStyle="1" w:styleId="title">
    <w:name w:val="title"/>
    <w:basedOn w:val="a0"/>
    <w:rsid w:val="00BB7DD7"/>
  </w:style>
  <w:style w:type="paragraph" w:styleId="a3">
    <w:name w:val="header"/>
    <w:basedOn w:val="a"/>
    <w:link w:val="Char"/>
    <w:uiPriority w:val="99"/>
    <w:semiHidden/>
    <w:unhideWhenUsed/>
    <w:rsid w:val="00156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64A2"/>
    <w:rPr>
      <w:rFonts w:ascii="Calibri" w:eastAsia="宋体" w:hAnsi="Calibri" w:cs="Times New Roman"/>
      <w:sz w:val="18"/>
      <w:szCs w:val="18"/>
    </w:rPr>
  </w:style>
  <w:style w:type="paragraph" w:styleId="a4">
    <w:name w:val="footer"/>
    <w:basedOn w:val="a"/>
    <w:link w:val="Char0"/>
    <w:uiPriority w:val="99"/>
    <w:semiHidden/>
    <w:unhideWhenUsed/>
    <w:rsid w:val="001564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64A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cp:lastPrinted>2018-01-09T07:46:00Z</cp:lastPrinted>
  <dcterms:created xsi:type="dcterms:W3CDTF">2018-01-03T02:51:00Z</dcterms:created>
  <dcterms:modified xsi:type="dcterms:W3CDTF">2018-01-09T08:57:00Z</dcterms:modified>
</cp:coreProperties>
</file>